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AC8" w:rsidRDefault="00E90AC8" w:rsidP="00E90AC8">
      <w:pPr>
        <w:spacing w:after="0" w:line="240" w:lineRule="auto"/>
        <w:ind w:left="720" w:hanging="630"/>
        <w:jc w:val="center"/>
        <w:rPr>
          <w:rFonts w:ascii="Times New Roman" w:hAnsi="Times New Roman"/>
          <w:b/>
          <w:sz w:val="26"/>
          <w:szCs w:val="26"/>
        </w:rPr>
      </w:pPr>
      <w:r w:rsidRPr="005B1266">
        <w:rPr>
          <w:rFonts w:ascii="Times New Roman" w:hAnsi="Times New Roman"/>
          <w:b/>
          <w:sz w:val="26"/>
          <w:szCs w:val="26"/>
        </w:rPr>
        <w:t xml:space="preserve">Athari </w:t>
      </w:r>
      <w:r>
        <w:rPr>
          <w:rFonts w:ascii="Times New Roman" w:hAnsi="Times New Roman"/>
          <w:b/>
          <w:sz w:val="26"/>
          <w:szCs w:val="26"/>
        </w:rPr>
        <w:t>z</w:t>
      </w:r>
      <w:r w:rsidRPr="005B1266">
        <w:rPr>
          <w:rFonts w:ascii="Times New Roman" w:hAnsi="Times New Roman"/>
          <w:b/>
          <w:sz w:val="26"/>
          <w:szCs w:val="26"/>
        </w:rPr>
        <w:t xml:space="preserve">a Mafunzo-Kazini: Mfano Halisi </w:t>
      </w:r>
      <w:r>
        <w:rPr>
          <w:rFonts w:ascii="Times New Roman" w:hAnsi="Times New Roman"/>
          <w:b/>
          <w:sz w:val="26"/>
          <w:szCs w:val="26"/>
        </w:rPr>
        <w:t>w</w:t>
      </w:r>
      <w:r w:rsidRPr="005B1266">
        <w:rPr>
          <w:rFonts w:ascii="Times New Roman" w:hAnsi="Times New Roman"/>
          <w:b/>
          <w:sz w:val="26"/>
          <w:szCs w:val="26"/>
        </w:rPr>
        <w:t xml:space="preserve">a Walimu </w:t>
      </w:r>
      <w:r>
        <w:rPr>
          <w:rFonts w:ascii="Times New Roman" w:hAnsi="Times New Roman"/>
          <w:b/>
          <w:sz w:val="26"/>
          <w:szCs w:val="26"/>
        </w:rPr>
        <w:t>w</w:t>
      </w:r>
      <w:r w:rsidRPr="005B1266">
        <w:rPr>
          <w:rFonts w:ascii="Times New Roman" w:hAnsi="Times New Roman"/>
          <w:b/>
          <w:sz w:val="26"/>
          <w:szCs w:val="26"/>
        </w:rPr>
        <w:t xml:space="preserve">a Kiswahili Katika Shule </w:t>
      </w:r>
      <w:r>
        <w:rPr>
          <w:rFonts w:ascii="Times New Roman" w:hAnsi="Times New Roman"/>
          <w:b/>
          <w:sz w:val="26"/>
          <w:szCs w:val="26"/>
        </w:rPr>
        <w:t>z</w:t>
      </w:r>
      <w:r w:rsidRPr="005B1266">
        <w:rPr>
          <w:rFonts w:ascii="Times New Roman" w:hAnsi="Times New Roman"/>
          <w:b/>
          <w:sz w:val="26"/>
          <w:szCs w:val="26"/>
        </w:rPr>
        <w:t>a Upili Garissa</w:t>
      </w:r>
    </w:p>
    <w:p w:rsidR="00E90AC8" w:rsidRDefault="00E90AC8" w:rsidP="00E90AC8">
      <w:pPr>
        <w:spacing w:after="0" w:line="240" w:lineRule="auto"/>
        <w:ind w:left="720" w:hanging="630"/>
        <w:jc w:val="center"/>
        <w:rPr>
          <w:rFonts w:ascii="Times New Roman" w:hAnsi="Times New Roman"/>
          <w:b/>
          <w:sz w:val="26"/>
          <w:szCs w:val="26"/>
        </w:rPr>
      </w:pPr>
    </w:p>
    <w:p w:rsidR="00E90AC8" w:rsidRPr="004C4E46" w:rsidRDefault="00E90AC8" w:rsidP="00E90AC8">
      <w:pPr>
        <w:spacing w:after="0" w:line="240" w:lineRule="auto"/>
        <w:jc w:val="center"/>
        <w:rPr>
          <w:rFonts w:ascii="Times New Roman" w:hAnsi="Times New Roman"/>
          <w:sz w:val="26"/>
          <w:szCs w:val="26"/>
        </w:rPr>
      </w:pPr>
      <w:r w:rsidRPr="004C4E46">
        <w:rPr>
          <w:rFonts w:ascii="Times New Roman" w:hAnsi="Times New Roman"/>
          <w:b/>
          <w:sz w:val="10"/>
          <w:szCs w:val="10"/>
        </w:rPr>
        <w:br/>
      </w:r>
      <w:r w:rsidRPr="004C4E46">
        <w:rPr>
          <w:rFonts w:ascii="Times New Roman" w:hAnsi="Times New Roman"/>
          <w:sz w:val="26"/>
          <w:szCs w:val="26"/>
        </w:rPr>
        <w:t>Geoffrey Nyaega Mogere, Chuo Kikuu cha Mount Kenya &amp;</w:t>
      </w:r>
    </w:p>
    <w:p w:rsidR="00E90AC8" w:rsidRPr="004C4E46" w:rsidRDefault="00E90AC8" w:rsidP="00E90AC8">
      <w:pPr>
        <w:spacing w:after="0" w:line="240" w:lineRule="auto"/>
        <w:jc w:val="center"/>
        <w:rPr>
          <w:rFonts w:ascii="Times New Roman" w:hAnsi="Times New Roman"/>
          <w:sz w:val="26"/>
          <w:szCs w:val="26"/>
        </w:rPr>
      </w:pPr>
      <w:r w:rsidRPr="004C4E46">
        <w:rPr>
          <w:rFonts w:ascii="Times New Roman" w:hAnsi="Times New Roman"/>
          <w:sz w:val="26"/>
          <w:szCs w:val="26"/>
        </w:rPr>
        <w:t xml:space="preserve"> Moses Wasike, Chuo Kikuu cha Moi</w:t>
      </w:r>
    </w:p>
    <w:p w:rsidR="00E90AC8" w:rsidRPr="00FB301D" w:rsidRDefault="00E90AC8" w:rsidP="00E90AC8">
      <w:pPr>
        <w:spacing w:after="0" w:line="240" w:lineRule="auto"/>
        <w:jc w:val="both"/>
        <w:rPr>
          <w:rFonts w:ascii="Times New Roman" w:hAnsi="Times New Roman"/>
          <w:b/>
          <w:sz w:val="24"/>
          <w:szCs w:val="24"/>
        </w:rPr>
      </w:pPr>
    </w:p>
    <w:p w:rsidR="00E90AC8" w:rsidRPr="004C4E46" w:rsidRDefault="00E90AC8" w:rsidP="00E90AC8">
      <w:pPr>
        <w:spacing w:after="0" w:line="240" w:lineRule="auto"/>
        <w:ind w:left="720" w:right="389"/>
        <w:jc w:val="both"/>
        <w:rPr>
          <w:rFonts w:ascii="Times New Roman" w:hAnsi="Times New Roman"/>
          <w:sz w:val="20"/>
          <w:szCs w:val="20"/>
        </w:rPr>
      </w:pPr>
      <w:r w:rsidRPr="004C4E46">
        <w:rPr>
          <w:rFonts w:ascii="Times New Roman" w:hAnsi="Times New Roman"/>
          <w:sz w:val="20"/>
          <w:szCs w:val="20"/>
        </w:rPr>
        <w:t>IKISIRI</w:t>
      </w:r>
    </w:p>
    <w:p w:rsidR="00E90AC8" w:rsidRDefault="00E90AC8" w:rsidP="00E90AC8">
      <w:pPr>
        <w:spacing w:after="0" w:line="240" w:lineRule="auto"/>
        <w:ind w:left="720" w:right="389"/>
        <w:jc w:val="both"/>
        <w:rPr>
          <w:rFonts w:ascii="Times New Roman" w:hAnsi="Times New Roman"/>
          <w:sz w:val="20"/>
          <w:szCs w:val="20"/>
        </w:rPr>
      </w:pPr>
    </w:p>
    <w:p w:rsidR="00E90AC8" w:rsidRPr="004C4E46" w:rsidRDefault="00E90AC8" w:rsidP="00E90AC8">
      <w:pPr>
        <w:spacing w:after="0" w:line="240" w:lineRule="auto"/>
        <w:ind w:left="720" w:right="389"/>
        <w:jc w:val="both"/>
        <w:rPr>
          <w:rFonts w:ascii="Times New Roman" w:hAnsi="Times New Roman"/>
          <w:sz w:val="20"/>
          <w:szCs w:val="20"/>
        </w:rPr>
      </w:pPr>
      <w:r w:rsidRPr="004C4E46">
        <w:rPr>
          <w:rFonts w:ascii="Times New Roman" w:hAnsi="Times New Roman"/>
          <w:sz w:val="20"/>
          <w:szCs w:val="20"/>
        </w:rPr>
        <w:t xml:space="preserve">Utafiti huu ulichunguza athari za mafunzo-kazini kwa walimu wa Kiswahili wa shule za upili katika gatuzi dogo la Garissa. Ulilenga kuchunguza nafasi ya walimu kuhudhuria warsha na makongamano ya Kiswahili. Aidha tathmini ya utoshelevu wa warsha na makongamano hayo ilifanywa. Mtihani wa Kiswahili umeendelea kushuhudia matokeo duni licha ya juhudi kubwa zilizofanywa na zinazoendelea kufanywa na wakereketwa wa lugha ya Kiswahili katika kukikweza. Sababu nyingi zimeshughulikiwa na watafiti wa awali na kuhusishwa moja kwa moja na matokeo duni. Japo mafunzo-kazini yametajwa kwa tutusa na baadhi ya wataalamu kama Kobia na Ndiga (2013) na Mose etal (2012) watafiti hawafahamu kuwepo kwa utafiti ambao umezamia mafunzo-kazini na uhusiano wake na matokeo ya mitihani ya Kiswahili. Utafiti huu ulitumia mpango wa utafiti wa kimaelezo. Uliwahusisha wakuu wa somo la Kiswahili ambao ni walimu wa somo la Kiswahili 13 katika shule 13 na walimu wakuu 13 wa shule hizo katika gatuzi dogo la Garissa. Walimu walipewa hojaji iliyolenga vipengele vinne: maelezo ya kibinafsi ya mwalimu, changamoto anazokumbana nazo katika ufundishaji na ujifunzaji, ufahamu na mahudhurio ya warsha na makongamano ya Kiswahili na msaada wa mwalimu mkuu katika kukuza uwezo wa mwalimu wa Kiswahili. Mwongozo wa uchunzaji ulitumiwa kutathmini kuhusika kwa mwalimu mkuu katika kumkuza mwalimu, kufadhili mahudhurio ya warsha na makongamano na juhudi zake za maksuudi za kuendeleza utekelezaji wa mtalaa wa Kiswahili. Utafiti huu ulionyesha kuwa wapo walimu ambao hawajawahi kuhudhuria warsha na kongamano la Kiswahili. Walimu waliowahi kuhudhuria wamehudhuria warsha na makongamano machache mno. Isitoshe wengi wa walimu wakuu hawatambui umuhimu wa warsha na makongamano ya Kiswahili. Utafiti huu unapendekeza kuhusika kwa wadau mbalimbali katika kuzipa warsha na makongamo ya Kiswahili uzito ufaao. Umuhimu wa sera madhubuti ya mafunzo-kazini unapendekezwa kama hatua ya kuimarisha mustakabali na utoshelevu wa warsha na makongamano ya Kiswahili. Pana haja ya  kuwahamasisha walimu wakuu kuhusu dhima na umuhimu wa mafunzo-kazini. </w:t>
      </w:r>
    </w:p>
    <w:p w:rsidR="00E90AC8" w:rsidRDefault="00E90AC8" w:rsidP="00E90AC8">
      <w:pPr>
        <w:spacing w:after="0" w:line="240" w:lineRule="auto"/>
        <w:jc w:val="both"/>
        <w:rPr>
          <w:rFonts w:ascii="Times New Roman" w:hAnsi="Times New Roman"/>
          <w:b/>
          <w:sz w:val="24"/>
          <w:szCs w:val="24"/>
        </w:rPr>
      </w:pPr>
    </w:p>
    <w:p w:rsidR="00E90AC8" w:rsidRPr="00FB301D" w:rsidRDefault="00E90AC8" w:rsidP="00E90AC8">
      <w:pPr>
        <w:spacing w:after="0" w:line="240" w:lineRule="auto"/>
        <w:jc w:val="both"/>
        <w:rPr>
          <w:rFonts w:ascii="Times New Roman" w:hAnsi="Times New Roman"/>
          <w:b/>
          <w:sz w:val="24"/>
          <w:szCs w:val="24"/>
        </w:rPr>
      </w:pPr>
      <w:r w:rsidRPr="00FB301D">
        <w:rPr>
          <w:rFonts w:ascii="Times New Roman" w:hAnsi="Times New Roman"/>
          <w:b/>
          <w:sz w:val="24"/>
          <w:szCs w:val="24"/>
        </w:rPr>
        <w:t>UTANGULIZI</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Lugha ya Kiswahili sawa na lugha nyingine inabadilika na kukua kila uchao. Wizara ya elimu (2002) inasema kuwa kadiri Kiswahili kinavyobadilika ndivyo mikakati ya utekelezaji wake inavyobadilika. Mwalimu wa Kiswahili ndiye mhimili mkuu katika utekelezaji wa mabadiliko hayo. Mwalimu huyo (Kobia &amp; Ndiga, 2013) ni sharti awe amehitimu vizuri na awe na ufahamu wa kina wa mabadiliko katika mtalaa wa Kiswahili. Nchini Kenya, Taasisi ya Ukuzaji Mitalaa ilianzisha mtalaa mpya wa Kiswahili mwaka wa 2003. Mtalaa huo ulijumuisha: fasihi simulizi, mpangilio mpya wa ngeli za nomino, hadithi fupi, uandishi wa kiuamilifu, ufahamu wa kusikiliza na isimu jamii. Mada hizi zilikuwa ngeni kwa walimu wengi waliokiri kutozimudu vyema. Mabadiliko hayo yalizua dharura ya kumfunza upya mwalimu kupitia kwa warsha, seminaa na makongamano ili kumuwezesha kuyatekeleza.</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Lugha ya Kiswahili imepiga hatua kubwa siku za hivi karibuni. Kimataifa, inatumika katika vyombo vya habari na elimu. Inatumika katika vipindi vya redio za kimataifa kama VOA, BBC, RDW, Redio China na Redio Ufaransa miongoni mwa nyingine. Kinafunzwa katika taasisi nyingi za elimu ya juu katika mabara ya Afrika, </w:t>
      </w:r>
      <w:r>
        <w:rPr>
          <w:rFonts w:ascii="Times New Roman" w:hAnsi="Times New Roman"/>
          <w:sz w:val="24"/>
          <w:szCs w:val="24"/>
        </w:rPr>
        <w:t>Ulaya</w:t>
      </w:r>
      <w:r w:rsidRPr="00FB301D">
        <w:rPr>
          <w:rFonts w:ascii="Times New Roman" w:hAnsi="Times New Roman"/>
          <w:sz w:val="24"/>
          <w:szCs w:val="24"/>
        </w:rPr>
        <w:t xml:space="preserve">, Bara Hindi na Marekani. Kiteknolojia, kimejumuishwa katika programu za kimtandao za </w:t>
      </w:r>
      <w:r w:rsidRPr="00FB301D">
        <w:rPr>
          <w:rFonts w:ascii="Times New Roman" w:hAnsi="Times New Roman"/>
          <w:i/>
          <w:sz w:val="24"/>
          <w:szCs w:val="24"/>
        </w:rPr>
        <w:t>Microsoft</w:t>
      </w:r>
      <w:r w:rsidRPr="00FB301D">
        <w:rPr>
          <w:rFonts w:ascii="Times New Roman" w:hAnsi="Times New Roman"/>
          <w:sz w:val="24"/>
          <w:szCs w:val="24"/>
        </w:rPr>
        <w:t xml:space="preserve">, </w:t>
      </w:r>
      <w:r w:rsidRPr="00FB301D">
        <w:rPr>
          <w:rFonts w:ascii="Times New Roman" w:hAnsi="Times New Roman"/>
          <w:i/>
          <w:sz w:val="24"/>
          <w:szCs w:val="24"/>
        </w:rPr>
        <w:t>Linux</w:t>
      </w:r>
      <w:r w:rsidRPr="00FB301D">
        <w:rPr>
          <w:rFonts w:ascii="Times New Roman" w:hAnsi="Times New Roman"/>
          <w:sz w:val="24"/>
          <w:szCs w:val="24"/>
        </w:rPr>
        <w:t xml:space="preserve"> na </w:t>
      </w:r>
      <w:r w:rsidRPr="00FB301D">
        <w:rPr>
          <w:rFonts w:ascii="Times New Roman" w:hAnsi="Times New Roman"/>
          <w:i/>
          <w:sz w:val="24"/>
          <w:szCs w:val="24"/>
        </w:rPr>
        <w:t>Google</w:t>
      </w:r>
      <w:r w:rsidRPr="00FB301D">
        <w:rPr>
          <w:rFonts w:ascii="Times New Roman" w:hAnsi="Times New Roman"/>
          <w:sz w:val="24"/>
          <w:szCs w:val="24"/>
        </w:rPr>
        <w:t xml:space="preserve">. Kiswahili ni mojawapo wa lugha rasmi za Umoja wa </w:t>
      </w:r>
      <w:r>
        <w:rPr>
          <w:rFonts w:ascii="Times New Roman" w:hAnsi="Times New Roman"/>
          <w:sz w:val="24"/>
          <w:szCs w:val="24"/>
        </w:rPr>
        <w:t>n</w:t>
      </w:r>
      <w:r w:rsidRPr="00FB301D">
        <w:rPr>
          <w:rFonts w:ascii="Times New Roman" w:hAnsi="Times New Roman"/>
          <w:sz w:val="24"/>
          <w:szCs w:val="24"/>
        </w:rPr>
        <w:t xml:space="preserve">chi Huru za Afrika na </w:t>
      </w:r>
      <w:r w:rsidRPr="00B86DA9">
        <w:rPr>
          <w:rFonts w:ascii="Times New Roman" w:hAnsi="Times New Roman"/>
          <w:i/>
          <w:sz w:val="24"/>
          <w:szCs w:val="24"/>
        </w:rPr>
        <w:t>Bunge la Afrika</w:t>
      </w:r>
      <w:r w:rsidRPr="00FB301D">
        <w:rPr>
          <w:rFonts w:ascii="Times New Roman" w:hAnsi="Times New Roman"/>
          <w:sz w:val="24"/>
          <w:szCs w:val="24"/>
        </w:rPr>
        <w:t xml:space="preserve">. </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lastRenderedPageBreak/>
        <w:t>Katika juhudi za kuleta umoja katika jumuiya ya Afrika Mashariki, Kiswahili kimetekeleza jukumu kuu na kutambuliwa na wengi kuwa ndicho kitambulisho cha eneo hili. Idadi kubwa ya wakaazi wa nchi za eneo la Afrika Mashariki hutumia Kiswahili katika kutekeleza ajenda ya maendeleo ya kitaifa pamoja na uenezaji wa habari. Maenezi na ukuaji wa Kiswahili kutoka upwa wa Afrika Mashariki umekipa hadhi sio tu Afrika Mashariki bali kama lugha ya kimataifa.</w:t>
      </w:r>
    </w:p>
    <w:p w:rsidR="00E90AC8"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Katiba ya Kenya (2010) inakitambua Kiswahili sasa kama lugha rasmi pamoja na Kiingereza (Ibara ya saba ya katiba). Nafasi hii inakijukumisha kutekeleza dhima muhimu katika hatua za Kenya kuafikia malengo ya 2030. Kwa hivyo, katika nafasi yake mpya kama lugha rasmi, Kiswahili kinatarajiwa kutoa mchango mkubwa kitaifa, kieneo na kimataifa. Hili litawezekana tu ikiwa matokeo ya sasa katika mitihani ya kitaifa yataimarishwa hususan katika maeneo kame kama gatuzi dogo la Garissa. Kobia na Ndiga (2013) wanasema kuwa matokeo ya Kiswahili yameendelea kudidimia licha ya juhudi za serikali kukiimarisha. Kwa mujibu wa Baraza la Mitihani gredi A (pointi 12) ndiyo gredi bora zaidi katika mtihani wa Cheti cha Kuhitimu Elimu ya Sekondari Kenya (KCSE), gredi E (pointi moja) ndiyo gredi ya chini zaidi na C+ (pointi saba) huchukuliwa kuwa wastani. Jedwali lifuatalo linathibitisha kuwa hali si nzuri katika gatuzi dogo la Garissa.  </w:t>
      </w:r>
    </w:p>
    <w:p w:rsidR="00E90AC8" w:rsidRDefault="00E90AC8" w:rsidP="00E90AC8">
      <w:pPr>
        <w:spacing w:after="0" w:line="240" w:lineRule="auto"/>
        <w:jc w:val="both"/>
        <w:rPr>
          <w:rFonts w:ascii="Times New Roman" w:hAnsi="Times New Roman"/>
          <w:sz w:val="24"/>
          <w:szCs w:val="24"/>
        </w:rPr>
      </w:pPr>
    </w:p>
    <w:p w:rsidR="00E90AC8" w:rsidRDefault="00E90AC8" w:rsidP="00E90AC8">
      <w:pPr>
        <w:spacing w:after="0" w:line="240" w:lineRule="auto"/>
        <w:jc w:val="both"/>
        <w:rPr>
          <w:rFonts w:ascii="Times New Roman" w:hAnsi="Times New Roman"/>
          <w:b/>
          <w:i/>
          <w:sz w:val="24"/>
          <w:szCs w:val="24"/>
        </w:rPr>
      </w:pPr>
      <w:r w:rsidRPr="00B343BA">
        <w:rPr>
          <w:rFonts w:ascii="Times New Roman" w:hAnsi="Times New Roman"/>
          <w:b/>
          <w:i/>
          <w:sz w:val="24"/>
          <w:szCs w:val="24"/>
        </w:rPr>
        <w:t>Jedwali 1</w:t>
      </w:r>
    </w:p>
    <w:p w:rsidR="00E90AC8" w:rsidRPr="00B343BA" w:rsidRDefault="00E90AC8" w:rsidP="00E90AC8">
      <w:pPr>
        <w:spacing w:after="0" w:line="240" w:lineRule="auto"/>
        <w:jc w:val="both"/>
        <w:rPr>
          <w:rFonts w:ascii="Times New Roman" w:hAnsi="Times New Roman"/>
          <w:b/>
          <w:i/>
          <w:sz w:val="24"/>
          <w:szCs w:val="24"/>
        </w:rPr>
      </w:pPr>
    </w:p>
    <w:p w:rsidR="00E90AC8" w:rsidRPr="00B343BA" w:rsidRDefault="00E90AC8" w:rsidP="00E90AC8">
      <w:pPr>
        <w:spacing w:after="0" w:line="240" w:lineRule="auto"/>
        <w:jc w:val="both"/>
        <w:rPr>
          <w:rFonts w:ascii="Times New Roman" w:hAnsi="Times New Roman"/>
          <w:sz w:val="24"/>
          <w:szCs w:val="24"/>
        </w:rPr>
      </w:pPr>
      <w:r w:rsidRPr="00B343BA">
        <w:rPr>
          <w:rFonts w:ascii="Times New Roman" w:hAnsi="Times New Roman"/>
          <w:sz w:val="24"/>
          <w:szCs w:val="24"/>
        </w:rPr>
        <w:t>Matokeo ya KCSE Kiswahili Gatuzi dogo la Garissa 2009-2013</w:t>
      </w:r>
    </w:p>
    <w:tbl>
      <w:tblPr>
        <w:tblW w:w="3432" w:type="pct"/>
        <w:tblLook w:val="04A0"/>
      </w:tblPr>
      <w:tblGrid>
        <w:gridCol w:w="1064"/>
        <w:gridCol w:w="1157"/>
        <w:gridCol w:w="1051"/>
        <w:gridCol w:w="1051"/>
        <w:gridCol w:w="1053"/>
        <w:gridCol w:w="968"/>
      </w:tblGrid>
      <w:tr w:rsidR="00E90AC8" w:rsidRPr="00B343BA" w:rsidTr="00712E96">
        <w:trPr>
          <w:trHeight w:val="266"/>
        </w:trPr>
        <w:tc>
          <w:tcPr>
            <w:tcW w:w="839" w:type="pct"/>
            <w:noWrap/>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Mwaka</w:t>
            </w:r>
          </w:p>
        </w:tc>
        <w:tc>
          <w:tcPr>
            <w:tcW w:w="912"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Wastani</w:t>
            </w:r>
          </w:p>
        </w:tc>
        <w:tc>
          <w:tcPr>
            <w:tcW w:w="828"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Gredi</w:t>
            </w:r>
          </w:p>
        </w:tc>
        <w:tc>
          <w:tcPr>
            <w:tcW w:w="828" w:type="pct"/>
          </w:tcPr>
          <w:p w:rsidR="00E90AC8" w:rsidRPr="00B343BA" w:rsidRDefault="00E90AC8" w:rsidP="00712E96">
            <w:pPr>
              <w:spacing w:after="0" w:line="240" w:lineRule="auto"/>
              <w:jc w:val="both"/>
              <w:rPr>
                <w:rFonts w:ascii="Times New Roman" w:eastAsia="Times New Roman" w:hAnsi="Times New Roman"/>
              </w:rPr>
            </w:pPr>
          </w:p>
        </w:tc>
        <w:tc>
          <w:tcPr>
            <w:tcW w:w="830" w:type="pct"/>
          </w:tcPr>
          <w:p w:rsidR="00E90AC8" w:rsidRPr="00B343BA" w:rsidRDefault="00E90AC8" w:rsidP="00712E96">
            <w:pPr>
              <w:spacing w:after="0" w:line="240" w:lineRule="auto"/>
              <w:jc w:val="both"/>
              <w:rPr>
                <w:rFonts w:ascii="Times New Roman" w:eastAsia="Times New Roman" w:hAnsi="Times New Roman"/>
              </w:rPr>
            </w:pPr>
          </w:p>
        </w:tc>
        <w:tc>
          <w:tcPr>
            <w:tcW w:w="763" w:type="pct"/>
          </w:tcPr>
          <w:p w:rsidR="00E90AC8" w:rsidRPr="00B343BA" w:rsidRDefault="00E90AC8" w:rsidP="00712E96">
            <w:pPr>
              <w:spacing w:after="0" w:line="240" w:lineRule="auto"/>
              <w:jc w:val="both"/>
              <w:rPr>
                <w:rFonts w:ascii="Times New Roman" w:eastAsia="Times New Roman" w:hAnsi="Times New Roman"/>
              </w:rPr>
            </w:pPr>
          </w:p>
        </w:tc>
      </w:tr>
      <w:tr w:rsidR="00E90AC8" w:rsidRPr="00B343BA" w:rsidTr="00712E96">
        <w:trPr>
          <w:trHeight w:val="266"/>
        </w:trPr>
        <w:tc>
          <w:tcPr>
            <w:tcW w:w="839" w:type="pct"/>
            <w:noWrap/>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2009</w:t>
            </w:r>
          </w:p>
        </w:tc>
        <w:tc>
          <w:tcPr>
            <w:tcW w:w="912"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3.13</w:t>
            </w:r>
          </w:p>
        </w:tc>
        <w:tc>
          <w:tcPr>
            <w:tcW w:w="828"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D</w:t>
            </w:r>
          </w:p>
        </w:tc>
        <w:tc>
          <w:tcPr>
            <w:tcW w:w="828" w:type="pct"/>
          </w:tcPr>
          <w:p w:rsidR="00E90AC8" w:rsidRPr="00B343BA" w:rsidRDefault="00E90AC8" w:rsidP="00712E96">
            <w:pPr>
              <w:spacing w:after="0" w:line="240" w:lineRule="auto"/>
              <w:jc w:val="both"/>
              <w:rPr>
                <w:rFonts w:ascii="Times New Roman" w:eastAsia="Times New Roman" w:hAnsi="Times New Roman"/>
              </w:rPr>
            </w:pPr>
          </w:p>
        </w:tc>
        <w:tc>
          <w:tcPr>
            <w:tcW w:w="830" w:type="pct"/>
          </w:tcPr>
          <w:p w:rsidR="00E90AC8" w:rsidRPr="00B343BA" w:rsidRDefault="00E90AC8" w:rsidP="00712E96">
            <w:pPr>
              <w:spacing w:after="0" w:line="240" w:lineRule="auto"/>
              <w:jc w:val="both"/>
              <w:rPr>
                <w:rFonts w:ascii="Times New Roman" w:eastAsia="Times New Roman" w:hAnsi="Times New Roman"/>
              </w:rPr>
            </w:pPr>
          </w:p>
        </w:tc>
        <w:tc>
          <w:tcPr>
            <w:tcW w:w="763" w:type="pct"/>
          </w:tcPr>
          <w:p w:rsidR="00E90AC8" w:rsidRPr="00B343BA" w:rsidRDefault="00E90AC8" w:rsidP="00712E96">
            <w:pPr>
              <w:spacing w:after="0" w:line="240" w:lineRule="auto"/>
              <w:jc w:val="both"/>
              <w:rPr>
                <w:rFonts w:ascii="Times New Roman" w:eastAsia="Times New Roman" w:hAnsi="Times New Roman"/>
              </w:rPr>
            </w:pPr>
          </w:p>
        </w:tc>
      </w:tr>
      <w:tr w:rsidR="00E90AC8" w:rsidRPr="00B343BA" w:rsidTr="00712E96">
        <w:trPr>
          <w:trHeight w:val="266"/>
        </w:trPr>
        <w:tc>
          <w:tcPr>
            <w:tcW w:w="839" w:type="pct"/>
            <w:noWrap/>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2010</w:t>
            </w:r>
          </w:p>
        </w:tc>
        <w:tc>
          <w:tcPr>
            <w:tcW w:w="912"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3.22</w:t>
            </w:r>
          </w:p>
        </w:tc>
        <w:tc>
          <w:tcPr>
            <w:tcW w:w="828"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D</w:t>
            </w:r>
          </w:p>
        </w:tc>
        <w:tc>
          <w:tcPr>
            <w:tcW w:w="828" w:type="pct"/>
          </w:tcPr>
          <w:p w:rsidR="00E90AC8" w:rsidRPr="00B343BA" w:rsidRDefault="00E90AC8" w:rsidP="00712E96">
            <w:pPr>
              <w:spacing w:after="0" w:line="240" w:lineRule="auto"/>
              <w:jc w:val="both"/>
              <w:rPr>
                <w:rFonts w:ascii="Times New Roman" w:eastAsia="Times New Roman" w:hAnsi="Times New Roman"/>
              </w:rPr>
            </w:pPr>
          </w:p>
        </w:tc>
        <w:tc>
          <w:tcPr>
            <w:tcW w:w="830" w:type="pct"/>
          </w:tcPr>
          <w:p w:rsidR="00E90AC8" w:rsidRPr="00B343BA" w:rsidRDefault="00E90AC8" w:rsidP="00712E96">
            <w:pPr>
              <w:spacing w:after="0" w:line="240" w:lineRule="auto"/>
              <w:jc w:val="both"/>
              <w:rPr>
                <w:rFonts w:ascii="Times New Roman" w:eastAsia="Times New Roman" w:hAnsi="Times New Roman"/>
              </w:rPr>
            </w:pPr>
          </w:p>
        </w:tc>
        <w:tc>
          <w:tcPr>
            <w:tcW w:w="763" w:type="pct"/>
          </w:tcPr>
          <w:p w:rsidR="00E90AC8" w:rsidRPr="00B343BA" w:rsidRDefault="00E90AC8" w:rsidP="00712E96">
            <w:pPr>
              <w:spacing w:after="0" w:line="240" w:lineRule="auto"/>
              <w:jc w:val="both"/>
              <w:rPr>
                <w:rFonts w:ascii="Times New Roman" w:eastAsia="Times New Roman" w:hAnsi="Times New Roman"/>
              </w:rPr>
            </w:pPr>
          </w:p>
        </w:tc>
      </w:tr>
      <w:tr w:rsidR="00E90AC8" w:rsidRPr="00B343BA" w:rsidTr="00712E96">
        <w:trPr>
          <w:trHeight w:val="266"/>
        </w:trPr>
        <w:tc>
          <w:tcPr>
            <w:tcW w:w="839" w:type="pct"/>
            <w:noWrap/>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2011</w:t>
            </w:r>
          </w:p>
        </w:tc>
        <w:tc>
          <w:tcPr>
            <w:tcW w:w="912"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3.39</w:t>
            </w:r>
          </w:p>
        </w:tc>
        <w:tc>
          <w:tcPr>
            <w:tcW w:w="828"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D</w:t>
            </w:r>
          </w:p>
        </w:tc>
        <w:tc>
          <w:tcPr>
            <w:tcW w:w="828" w:type="pct"/>
          </w:tcPr>
          <w:p w:rsidR="00E90AC8" w:rsidRPr="00B343BA" w:rsidRDefault="00E90AC8" w:rsidP="00712E96">
            <w:pPr>
              <w:spacing w:after="0" w:line="240" w:lineRule="auto"/>
              <w:jc w:val="both"/>
              <w:rPr>
                <w:rFonts w:ascii="Times New Roman" w:eastAsia="Times New Roman" w:hAnsi="Times New Roman"/>
              </w:rPr>
            </w:pPr>
          </w:p>
        </w:tc>
        <w:tc>
          <w:tcPr>
            <w:tcW w:w="830" w:type="pct"/>
          </w:tcPr>
          <w:p w:rsidR="00E90AC8" w:rsidRPr="00B343BA" w:rsidRDefault="00E90AC8" w:rsidP="00712E96">
            <w:pPr>
              <w:spacing w:after="0" w:line="240" w:lineRule="auto"/>
              <w:jc w:val="both"/>
              <w:rPr>
                <w:rFonts w:ascii="Times New Roman" w:eastAsia="Times New Roman" w:hAnsi="Times New Roman"/>
              </w:rPr>
            </w:pPr>
          </w:p>
        </w:tc>
        <w:tc>
          <w:tcPr>
            <w:tcW w:w="763" w:type="pct"/>
          </w:tcPr>
          <w:p w:rsidR="00E90AC8" w:rsidRPr="00B343BA" w:rsidRDefault="00E90AC8" w:rsidP="00712E96">
            <w:pPr>
              <w:spacing w:after="0" w:line="240" w:lineRule="auto"/>
              <w:jc w:val="both"/>
              <w:rPr>
                <w:rFonts w:ascii="Times New Roman" w:eastAsia="Times New Roman" w:hAnsi="Times New Roman"/>
              </w:rPr>
            </w:pPr>
          </w:p>
        </w:tc>
      </w:tr>
      <w:tr w:rsidR="00E90AC8" w:rsidRPr="00B343BA" w:rsidTr="00712E96">
        <w:trPr>
          <w:trHeight w:val="266"/>
        </w:trPr>
        <w:tc>
          <w:tcPr>
            <w:tcW w:w="839" w:type="pct"/>
            <w:noWrap/>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2012</w:t>
            </w:r>
          </w:p>
        </w:tc>
        <w:tc>
          <w:tcPr>
            <w:tcW w:w="912"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3.09</w:t>
            </w:r>
          </w:p>
        </w:tc>
        <w:tc>
          <w:tcPr>
            <w:tcW w:w="828"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D</w:t>
            </w:r>
          </w:p>
        </w:tc>
        <w:tc>
          <w:tcPr>
            <w:tcW w:w="828" w:type="pct"/>
          </w:tcPr>
          <w:p w:rsidR="00E90AC8" w:rsidRPr="00B343BA" w:rsidRDefault="00E90AC8" w:rsidP="00712E96">
            <w:pPr>
              <w:spacing w:after="0" w:line="240" w:lineRule="auto"/>
              <w:jc w:val="both"/>
              <w:rPr>
                <w:rFonts w:ascii="Times New Roman" w:eastAsia="Times New Roman" w:hAnsi="Times New Roman"/>
              </w:rPr>
            </w:pPr>
          </w:p>
        </w:tc>
        <w:tc>
          <w:tcPr>
            <w:tcW w:w="830" w:type="pct"/>
          </w:tcPr>
          <w:p w:rsidR="00E90AC8" w:rsidRPr="00B343BA" w:rsidRDefault="00E90AC8" w:rsidP="00712E96">
            <w:pPr>
              <w:spacing w:after="0" w:line="240" w:lineRule="auto"/>
              <w:jc w:val="both"/>
              <w:rPr>
                <w:rFonts w:ascii="Times New Roman" w:eastAsia="Times New Roman" w:hAnsi="Times New Roman"/>
              </w:rPr>
            </w:pPr>
          </w:p>
        </w:tc>
        <w:tc>
          <w:tcPr>
            <w:tcW w:w="763" w:type="pct"/>
          </w:tcPr>
          <w:p w:rsidR="00E90AC8" w:rsidRPr="00B343BA" w:rsidRDefault="00E90AC8" w:rsidP="00712E96">
            <w:pPr>
              <w:spacing w:after="0" w:line="240" w:lineRule="auto"/>
              <w:jc w:val="both"/>
              <w:rPr>
                <w:rFonts w:ascii="Times New Roman" w:eastAsia="Times New Roman" w:hAnsi="Times New Roman"/>
              </w:rPr>
            </w:pPr>
          </w:p>
        </w:tc>
      </w:tr>
      <w:tr w:rsidR="00E90AC8" w:rsidRPr="00B343BA" w:rsidTr="00712E96">
        <w:trPr>
          <w:trHeight w:val="337"/>
        </w:trPr>
        <w:tc>
          <w:tcPr>
            <w:tcW w:w="839" w:type="pct"/>
            <w:noWrap/>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2013</w:t>
            </w:r>
          </w:p>
        </w:tc>
        <w:tc>
          <w:tcPr>
            <w:tcW w:w="912"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3.44</w:t>
            </w:r>
          </w:p>
        </w:tc>
        <w:tc>
          <w:tcPr>
            <w:tcW w:w="828" w:type="pct"/>
          </w:tcPr>
          <w:p w:rsidR="00E90AC8" w:rsidRPr="00B343BA" w:rsidRDefault="00E90AC8" w:rsidP="00712E96">
            <w:pPr>
              <w:spacing w:after="0" w:line="240" w:lineRule="auto"/>
              <w:jc w:val="both"/>
              <w:rPr>
                <w:rFonts w:ascii="Times New Roman" w:eastAsia="Times New Roman" w:hAnsi="Times New Roman"/>
              </w:rPr>
            </w:pPr>
            <w:r w:rsidRPr="00B343BA">
              <w:rPr>
                <w:rFonts w:ascii="Times New Roman" w:eastAsia="Times New Roman" w:hAnsi="Times New Roman"/>
              </w:rPr>
              <w:t xml:space="preserve">          D</w:t>
            </w:r>
          </w:p>
        </w:tc>
        <w:tc>
          <w:tcPr>
            <w:tcW w:w="828" w:type="pct"/>
          </w:tcPr>
          <w:p w:rsidR="00E90AC8" w:rsidRPr="00B343BA" w:rsidRDefault="00E90AC8" w:rsidP="00712E96">
            <w:pPr>
              <w:spacing w:after="0" w:line="240" w:lineRule="auto"/>
              <w:jc w:val="both"/>
              <w:rPr>
                <w:rFonts w:ascii="Times New Roman" w:eastAsia="Times New Roman" w:hAnsi="Times New Roman"/>
              </w:rPr>
            </w:pPr>
          </w:p>
        </w:tc>
        <w:tc>
          <w:tcPr>
            <w:tcW w:w="830" w:type="pct"/>
          </w:tcPr>
          <w:p w:rsidR="00E90AC8" w:rsidRPr="00B343BA" w:rsidRDefault="00E90AC8" w:rsidP="00712E96">
            <w:pPr>
              <w:spacing w:after="0" w:line="240" w:lineRule="auto"/>
              <w:jc w:val="both"/>
              <w:rPr>
                <w:rFonts w:ascii="Times New Roman" w:eastAsia="Times New Roman" w:hAnsi="Times New Roman"/>
              </w:rPr>
            </w:pPr>
          </w:p>
        </w:tc>
        <w:tc>
          <w:tcPr>
            <w:tcW w:w="763" w:type="pct"/>
          </w:tcPr>
          <w:p w:rsidR="00E90AC8" w:rsidRPr="00B343BA" w:rsidRDefault="00E90AC8" w:rsidP="00712E96">
            <w:pPr>
              <w:spacing w:after="0" w:line="240" w:lineRule="auto"/>
              <w:jc w:val="both"/>
              <w:rPr>
                <w:rFonts w:ascii="Times New Roman" w:eastAsia="Times New Roman" w:hAnsi="Times New Roman"/>
              </w:rPr>
            </w:pPr>
          </w:p>
        </w:tc>
      </w:tr>
    </w:tbl>
    <w:p w:rsidR="00E90AC8" w:rsidRPr="00B86DA9" w:rsidRDefault="00E90AC8" w:rsidP="00E90AC8">
      <w:pPr>
        <w:spacing w:after="0" w:line="240" w:lineRule="auto"/>
        <w:ind w:firstLine="270"/>
        <w:rPr>
          <w:rFonts w:ascii="Times New Roman" w:hAnsi="Times New Roman"/>
          <w:i/>
        </w:rPr>
      </w:pPr>
      <w:r w:rsidRPr="00B86DA9">
        <w:rPr>
          <w:rFonts w:ascii="Times New Roman" w:hAnsi="Times New Roman"/>
          <w:b/>
          <w:i/>
        </w:rPr>
        <w:t xml:space="preserve">Chanzo: </w:t>
      </w:r>
      <w:r w:rsidRPr="00B86DA9">
        <w:rPr>
          <w:rFonts w:ascii="Times New Roman" w:hAnsi="Times New Roman"/>
          <w:i/>
        </w:rPr>
        <w:t>Ofisi ya Elimu wilayani Garissa</w:t>
      </w:r>
    </w:p>
    <w:p w:rsidR="00E90AC8" w:rsidRPr="00B343BA"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Walimu hutekeleza jukumu muhimu katika utekelezaji wa mtalaa. Mose etal (2007) wanasema ni sharti walimu waandaliwe vyema, wapewe stadi mwafaka, ujuzi mpevu na umilisi ufaao. Matokeo ya KCSE ya gatuzi dogo la Garissa ni duni mno na yanazua haja ya kumchunguza mwalimu na utendakazi wake upya kwa lengo la kurekebisha hali.</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Kobia na Ndiga (2013) walitafiti kuhusu “Jinsi walimu wanavyoathiri utekelezaji wa mtalaa.” Mose etal (2012) waliangazia “Vipengele vinavyoathiri utekelezaji wa mabadiliko katika mtalaa wa Kiswahili katika shule za upili.” Walitathmini changamoto za walimu na wanafunzi na kupendekeza kuwa mafunzo-kazini yana umuhimu mkubwa katika kutekeleza mabadiliko ya mtalaa. Tafiti hizi na nyingine zilizotajwa katika utafiti huu zinatambua jukumu adhimu la mafunzo-kazini. Tofauti na tafiti hizo, utafiti huu ulichunguza uhusiano kati ya mafunzo-kazini ya mwalimu na matokeo ya mtihani ya wanafunzi. Utafiti huu unashikilia msimamo kuwa mwalimu aliyehitimu vizuri na anayehudhuria warsha na makongamano yenye malengo yaliyopangwa vizuri atamfaa mwanafunzi zaidi na kuimarisha matokeo ya mwanafunzi huyo.</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Utafiti huu ulilenga kuchunguza mahudhurio ya mafunzo-kazini ya walimu wa Kiswahili wa shule za upili katika gatuzi dogo la Garissa. Pia ulitathmini utoshelevu wa mafunzo-kazini waliyopokea walimu hao. Ili kudadavua malengo haya, utafiti huu ulitumia mfumo wa Borg (2006) wa utafiti wa utambuzi wa mwalimu wa lugha ili kuchunguza ushahidi wa mabadiliko (au kutokuwepo kwa mabadiliko) katika ufahamu wa mwalimu wa lugha. </w:t>
      </w:r>
    </w:p>
    <w:p w:rsidR="00E90AC8" w:rsidRDefault="00E90AC8" w:rsidP="00E90AC8">
      <w:pPr>
        <w:spacing w:after="0" w:line="240" w:lineRule="auto"/>
        <w:jc w:val="both"/>
        <w:rPr>
          <w:rFonts w:ascii="Times New Roman" w:hAnsi="Times New Roman"/>
          <w:b/>
          <w:sz w:val="24"/>
          <w:szCs w:val="24"/>
        </w:rPr>
      </w:pPr>
    </w:p>
    <w:p w:rsidR="00E90AC8" w:rsidRPr="00FB301D" w:rsidRDefault="00E90AC8" w:rsidP="00E90AC8">
      <w:pPr>
        <w:spacing w:after="0" w:line="240" w:lineRule="auto"/>
        <w:jc w:val="both"/>
        <w:rPr>
          <w:rFonts w:ascii="Times New Roman" w:hAnsi="Times New Roman"/>
          <w:b/>
          <w:sz w:val="24"/>
          <w:szCs w:val="24"/>
        </w:rPr>
      </w:pPr>
      <w:r w:rsidRPr="00FB301D">
        <w:rPr>
          <w:rFonts w:ascii="Times New Roman" w:hAnsi="Times New Roman"/>
          <w:b/>
          <w:sz w:val="24"/>
          <w:szCs w:val="24"/>
        </w:rPr>
        <w:t>Mapitio ya Yaliyoandikwa Kuhusu Mada</w:t>
      </w:r>
    </w:p>
    <w:p w:rsidR="00E90AC8"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Dhana ya </w:t>
      </w:r>
      <w:r>
        <w:rPr>
          <w:rFonts w:ascii="Times New Roman" w:hAnsi="Times New Roman"/>
          <w:b/>
          <w:i/>
          <w:sz w:val="24"/>
          <w:szCs w:val="24"/>
        </w:rPr>
        <w:t>M</w:t>
      </w:r>
      <w:r w:rsidRPr="00FB301D">
        <w:rPr>
          <w:rFonts w:ascii="Times New Roman" w:hAnsi="Times New Roman"/>
          <w:b/>
          <w:i/>
          <w:sz w:val="24"/>
          <w:szCs w:val="24"/>
        </w:rPr>
        <w:t>afunzo-</w:t>
      </w:r>
      <w:r>
        <w:rPr>
          <w:rFonts w:ascii="Times New Roman" w:hAnsi="Times New Roman"/>
          <w:b/>
          <w:i/>
          <w:sz w:val="24"/>
          <w:szCs w:val="24"/>
        </w:rPr>
        <w:t>K</w:t>
      </w:r>
      <w:r w:rsidRPr="00FB301D">
        <w:rPr>
          <w:rFonts w:ascii="Times New Roman" w:hAnsi="Times New Roman"/>
          <w:b/>
          <w:i/>
          <w:sz w:val="24"/>
          <w:szCs w:val="24"/>
        </w:rPr>
        <w:t>azini</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Omar (2014) anaeleza mafunzo-kazini kuwa mchakato unaowafunza watu ufundi na kuwapa ujuzi muhimu au mitazamo ya kuwawezesha kutekeleza majukumu yao kufikia viwango vinavyohitajika katika kazi yao ya sasa. Mchakato huo ni sharti umuwezeshe mfanyakazi kuyakabili majukumu yenye changamoto nyingi zaidi ili kupata ufanisi kazini. Anaongeza kuwa mafunzo-kazini ni njia ya kuwapa walimu stadi na ujuzi mpya wa kuimarisha ufundishaji na ujifunzaji ambavyo husababisha utendakazi bora. Kwa Omar (2014), mafunzo-kazini ni kitendo cha kuimarisha ufanisi, uwezo, ujuzi na motisha ya walimu katika kazi yao ya ualimu.</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Mafunzo-kazini ni mchakato uliopangwa ambapo ufaafu wa walimu kwa jumla au kibinafsi huimarishwa kwa misingi ya ujuzi mpya, mawazo mapya na mabadiliko yanayojiri kukweza maksudi au bila kukusudia ubora wa elimu ya wanafunzi. Jahangir et al (2012) anafafanua mafunzo-kazini kuwa jumla ya tajriba za kielimu na kibinafsi ambazo huchangia kumpa mwalimu umilisi na kuridhika katika majukumu yake ya kitaalamu. Anaongeza kuwa mafunzo-kazini yana vipengele viwili vikuu: kutimiza mahitaji ya ujifunzaji ya mwanafunzi na kuwakuza walimu kitaaluma.</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Fasili za wataalamu hawa ziliongoza utafiti huu kuchunguza na kutathmini mafunzo-kazini ya walimu wa Kiswahili katika gatuzi dogo la Garissa.</w:t>
      </w:r>
    </w:p>
    <w:p w:rsidR="00E90AC8"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Umuhimu wa </w:t>
      </w:r>
      <w:r>
        <w:rPr>
          <w:rFonts w:ascii="Times New Roman" w:hAnsi="Times New Roman"/>
          <w:b/>
          <w:i/>
          <w:sz w:val="24"/>
          <w:szCs w:val="24"/>
        </w:rPr>
        <w:t>M</w:t>
      </w:r>
      <w:r w:rsidRPr="00FB301D">
        <w:rPr>
          <w:rFonts w:ascii="Times New Roman" w:hAnsi="Times New Roman"/>
          <w:b/>
          <w:i/>
          <w:sz w:val="24"/>
          <w:szCs w:val="24"/>
        </w:rPr>
        <w:t>afunzo-</w:t>
      </w:r>
      <w:r>
        <w:rPr>
          <w:rFonts w:ascii="Times New Roman" w:hAnsi="Times New Roman"/>
          <w:b/>
          <w:i/>
          <w:sz w:val="24"/>
          <w:szCs w:val="24"/>
        </w:rPr>
        <w:t>K</w:t>
      </w:r>
      <w:r w:rsidRPr="00FB301D">
        <w:rPr>
          <w:rFonts w:ascii="Times New Roman" w:hAnsi="Times New Roman"/>
          <w:b/>
          <w:i/>
          <w:sz w:val="24"/>
          <w:szCs w:val="24"/>
        </w:rPr>
        <w:t>azini</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Walimu wanaofundisha Kiswahili katika shule za upili nchini Kenya husomea taaluma ya ualimu katika vyuo vikuu au vyuo vya stashahada. Walimu hao husomea Kiswahili na somo jingine lisilohusiana na Kiswahili kama historia, jiografia, biashara, hisabati na mengine. Walimu wengi wanaofundisha lugha ya Kiingereza, husomea Kiingereza na Fasihi ya Kiingereza kama masomo mawili tofauti hali inayowapa uketo mpevu wakilinganishwa na wenzao wa Kiswahili.</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Mose et al (2012) wanapendekeza Kiswahili Lugha na Fasihi ya Kiswahili yashughulikiwe kama masomo mawili tofauti. Kobia na Ndiga (2013), wanasema vyuo vikuu vingi haviwezi kutoa walimu aali kwa sababu ya changamoto zinazovikumba. Changamoto hizo ni pamoja na ongezeko la kasi la wanafunzi ambalo haliwezi likahudumiwa na raslimali zilizopo wakiwemo wahadhiri. Taasisi ya ukuzaji mitalaa Kenya (2005), inaongeza kuwa changamoto zinazovikumba vyuo vikuu huchangia kuhafili kwa walimu wenye upungufu mkubwa katika utendaji. Mitalaa ya vyuo vingi haina uhusiano na uhalisia wa ufundishaji na ujifunzaji. Mitalaa hiyo imesheheni masuala ya kitaalamu na kinadharia ambayo mara nyingi hayamfai mwalimu darasani. Hali hii ndiyo inayoibua haja ya mafunzo-kazini ili kumpiga mwalimu msasa. </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Pamoja na changamoto za kumwandaa mwalimu chuoni, kuna mabadiliko ya mara kwa mara ya mtalaa wa Kiswahili. Mtalaa mpya humjukumisha mwalimu kufundisha mada ambazo hakufundishwa chuoni. Mose </w:t>
      </w:r>
      <w:r>
        <w:rPr>
          <w:rFonts w:ascii="Times New Roman" w:hAnsi="Times New Roman"/>
          <w:sz w:val="24"/>
          <w:szCs w:val="24"/>
        </w:rPr>
        <w:t>na wenzake</w:t>
      </w:r>
      <w:r w:rsidRPr="00FB301D">
        <w:rPr>
          <w:rFonts w:ascii="Times New Roman" w:hAnsi="Times New Roman"/>
          <w:sz w:val="24"/>
          <w:szCs w:val="24"/>
        </w:rPr>
        <w:t xml:space="preserve"> (2012) wanasema kuwa walimu wengi walilalamikia ugumu wa fasihi simulizi, isimu jamii na hadithi fupi. Wengi wao hawakusoma kozi hizo chuoni kwa vile zilikuwa kozi za kuteua japo mtalaa mpya (2003) uliwataka wazifundishe shuleni. Bishop (1995) anapendekeza kuwa maswala, stadi na mbinu mpya katika elimu zitolewe kupitia kwa mafunzo-kazini. Ombui (2012) anahimiza umuhimu wa walimu kuhudhuria mafunzo ya kujikumbusha mara kwa mara ili kuimarisha stadi zao za kufundisha lugha. Suter (2013) anakubalina naye kwa kuongeza kuwa walimu ni sharti </w:t>
      </w:r>
      <w:r w:rsidRPr="00FB301D">
        <w:rPr>
          <w:rFonts w:ascii="Times New Roman" w:hAnsi="Times New Roman"/>
          <w:sz w:val="24"/>
          <w:szCs w:val="24"/>
        </w:rPr>
        <w:lastRenderedPageBreak/>
        <w:t>wawekwe sambamba na maendeleo ya kisasa ya ufundishaji lugha pamoja na mbinu za kisasa za kufundishia kupitia kwa mafunzo-kazini. Anapendekeza mafunzo-kazini endelevu kupitia kwa seminaa, warsha, makongamano na mikutano ya majopo ya walimu wa lugha.</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Jahangir et al (2012) wanasisitiza umuhimu wa mafunzo-kazini kwa kusema kuwa mwalimu bora ni mwanfunzi katika maisha yake yote. Kwa mujibu wao, mwalimu hawezi akafundisha ifaavyo ikiwa yeye mwenyewe hajifunzi. Wanamnukuu R.N. Tagore anayesema kuwa “Taa haiwezi kuwasha taa nyingine isipoendelea kuwaka.” Jahangir et al (2012) wanashadidia kuwa mafunzo-kazini hutekeleza jukumu kubwa katika kuimarisha utendakazi shuleni wa walimu. Utendakazi mzuri wa walimu huimarisha matokeo ya wanafunzi bila shaka.</w:t>
      </w: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 xml:space="preserve"> Muhammad na Rashid (2011) wanasema kuwa mafunzo-kazini hayawezi kuepukika. Mafunzo-kazini humuimarisha mwalimu na kupunguza upungufu unaotokana na mafunzo vyuoni. Mafunzo hayo humuwezesha mwalimu kwenda sambamba na maendeleo ya taaluma na somo lake pamoja na kuziba mwanya uliopo baina ya walimu wapya na wakongwe katika utendaji wao. </w:t>
      </w:r>
    </w:p>
    <w:p w:rsidR="00E90AC8" w:rsidRDefault="00E90AC8" w:rsidP="00E90AC8">
      <w:pPr>
        <w:spacing w:after="0" w:line="240" w:lineRule="auto"/>
        <w:jc w:val="both"/>
        <w:rPr>
          <w:rFonts w:ascii="Times New Roman" w:hAnsi="Times New Roman"/>
          <w:b/>
          <w:sz w:val="24"/>
          <w:szCs w:val="24"/>
        </w:rPr>
      </w:pPr>
    </w:p>
    <w:p w:rsidR="00E90AC8" w:rsidRDefault="00E90AC8" w:rsidP="00E90AC8">
      <w:pPr>
        <w:spacing w:after="0" w:line="240" w:lineRule="auto"/>
        <w:jc w:val="both"/>
        <w:rPr>
          <w:rFonts w:ascii="Times New Roman" w:hAnsi="Times New Roman"/>
          <w:b/>
          <w:sz w:val="24"/>
          <w:szCs w:val="24"/>
        </w:rPr>
      </w:pPr>
    </w:p>
    <w:p w:rsidR="00E90AC8" w:rsidRDefault="00E90AC8" w:rsidP="00E90AC8">
      <w:pPr>
        <w:spacing w:after="0" w:line="240" w:lineRule="auto"/>
        <w:jc w:val="both"/>
        <w:rPr>
          <w:rFonts w:ascii="Times New Roman" w:hAnsi="Times New Roman"/>
          <w:b/>
          <w:sz w:val="24"/>
          <w:szCs w:val="24"/>
        </w:rPr>
      </w:pPr>
    </w:p>
    <w:p w:rsidR="00E90AC8" w:rsidRDefault="00E90AC8" w:rsidP="00E90AC8">
      <w:pPr>
        <w:spacing w:after="0" w:line="240" w:lineRule="auto"/>
        <w:jc w:val="both"/>
        <w:rPr>
          <w:rFonts w:ascii="Times New Roman" w:hAnsi="Times New Roman"/>
          <w:b/>
          <w:sz w:val="24"/>
          <w:szCs w:val="24"/>
        </w:rPr>
      </w:pPr>
    </w:p>
    <w:p w:rsidR="00E90AC8" w:rsidRDefault="00E90AC8" w:rsidP="00E90AC8">
      <w:pPr>
        <w:spacing w:after="0" w:line="240" w:lineRule="auto"/>
        <w:jc w:val="both"/>
        <w:rPr>
          <w:rFonts w:ascii="Times New Roman" w:hAnsi="Times New Roman"/>
          <w:b/>
          <w:sz w:val="24"/>
          <w:szCs w:val="24"/>
        </w:rPr>
      </w:pPr>
    </w:p>
    <w:p w:rsidR="00E90AC8" w:rsidRDefault="00E90AC8" w:rsidP="00E90AC8">
      <w:pPr>
        <w:spacing w:after="0" w:line="240" w:lineRule="auto"/>
        <w:jc w:val="both"/>
        <w:rPr>
          <w:rFonts w:ascii="Times New Roman" w:hAnsi="Times New Roman"/>
          <w:b/>
          <w:sz w:val="24"/>
          <w:szCs w:val="24"/>
        </w:rPr>
      </w:pPr>
    </w:p>
    <w:p w:rsidR="00E90AC8" w:rsidRPr="00FB301D" w:rsidRDefault="00E90AC8" w:rsidP="00E90AC8">
      <w:pPr>
        <w:spacing w:after="0" w:line="240" w:lineRule="auto"/>
        <w:jc w:val="both"/>
        <w:rPr>
          <w:rFonts w:ascii="Times New Roman" w:hAnsi="Times New Roman"/>
          <w:b/>
          <w:sz w:val="24"/>
          <w:szCs w:val="24"/>
        </w:rPr>
      </w:pPr>
      <w:r w:rsidRPr="00FB301D">
        <w:rPr>
          <w:rFonts w:ascii="Times New Roman" w:hAnsi="Times New Roman"/>
          <w:b/>
          <w:sz w:val="24"/>
          <w:szCs w:val="24"/>
        </w:rPr>
        <w:t>Mbinu za Utafiti</w:t>
      </w:r>
    </w:p>
    <w:p w:rsidR="00E90AC8"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Mpango wa Utafiti   </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Utafiti huu ulitumia mpango wa uchunguzi wa kimaelezo. Mpango huu ulitumiwa kwa kuzingatia anayosema Vyhmeister (2001) kuwa unafaa sana katika kudhihirisha uhalisia kwa kukusanya kwa utondoti habari za kweli zinazoelezea hali ilivyo katika kipindi fulani. Mpango wa uchunguzi wa kimaelezo, ulilenga kupata habari kwa kuwauliza wahusika maswali kuhusu utambuzi wao na mielekeo yao. Vyhmester (2001) anasema majibu ya maswali haya yanaweza yakajibiwa kwa kunena au kuandika. Mpango huu ulifaa kwa vile uliwawezesha watafiti kukusanya data kutoka kwa wahusika kwa kutumia hojaji na mwongozo wa uchunzaji ambavyo viliwapa washiriki fursa ya kunena na kuandika.</w:t>
      </w:r>
    </w:p>
    <w:p w:rsidR="00E90AC8"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Walengwa</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Kuna shule 13 za upili za umma katika gatuzi dogo la Garissa. (Ofisi ya Elimu Wilaya ya Garissa, 2014) na zote zilishirikishwa katika utafiti huu. Utafiti ulilenga walimu wakuu 13 na walimu 13 wakuu wa somo la Kiswahili.</w:t>
      </w:r>
    </w:p>
    <w:p w:rsidR="00E90AC8" w:rsidRPr="00FB301D"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Sampuli na Utaratibu wa Kuteua Sampuli </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Kwa mujibu wa Best na Khan (2008), uteuzi wa sampuli huwezesha utoaji wa kauli thabiti ya jumla baada ya kuchunguza kwa makini vigezo vya utafiti kwa kutumia sehemu ndogo ya walengwa. Katika utafiti huu, shule zote za upili za umma zilihusishwa. Hivyo basi, wakuu wote wa somo la Kiswahili na walimu wao wakuu walishirikishwa katika utafiti huu.</w:t>
      </w:r>
    </w:p>
    <w:p w:rsidR="00E90AC8"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Vifaa vya </w:t>
      </w:r>
      <w:r>
        <w:rPr>
          <w:rFonts w:ascii="Times New Roman" w:hAnsi="Times New Roman"/>
          <w:b/>
          <w:i/>
          <w:sz w:val="24"/>
          <w:szCs w:val="24"/>
        </w:rPr>
        <w:t>U</w:t>
      </w:r>
      <w:r w:rsidRPr="00FB301D">
        <w:rPr>
          <w:rFonts w:ascii="Times New Roman" w:hAnsi="Times New Roman"/>
          <w:b/>
          <w:i/>
          <w:sz w:val="24"/>
          <w:szCs w:val="24"/>
        </w:rPr>
        <w:t>tafiti</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lastRenderedPageBreak/>
        <w:t>Data ilikusanywa kwa kutumia hojaji na mwongozo wa uchunzaji. Hojaji iliandaliwa kwa wakuu wa somo la Kiswahili. Hojaji hiyo ilikuwa na sehemu nne kuu. Sehemu ya A ilienga kupata habari za kibinafsi za walimu; B ikatathmini mahudhurio ya walimu ya mafunzo-kazini; C ikachunguza changamoto za walimu katika ufundishaji na D ikaangazia msaada wa walimu wakuu katika kurahisisha mafunzo-kazini kwa walimu wa Kiswahili.</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Mwongozo mmoja wa uchunzaji uliandaliwa kwa walimu wakuu. Ulikuwa na vipengele kumi na viwili ambavyo vililenga kutathmini kuhusika kwa mwalimu mkuu katika kumkuza mwalimu wa Kiswahili kupitia kwa mafunzo-kazini. Pia</w:t>
      </w:r>
      <w:r>
        <w:rPr>
          <w:rFonts w:ascii="Times New Roman" w:hAnsi="Times New Roman"/>
          <w:sz w:val="24"/>
          <w:szCs w:val="24"/>
        </w:rPr>
        <w:t>,</w:t>
      </w:r>
      <w:r w:rsidRPr="00FB301D">
        <w:rPr>
          <w:rFonts w:ascii="Times New Roman" w:hAnsi="Times New Roman"/>
          <w:sz w:val="24"/>
          <w:szCs w:val="24"/>
        </w:rPr>
        <w:t xml:space="preserve"> ulitathmini juhudi za maksudi za walimu wakuu kuhakikisha maandalizi ya mara kwa mara ya mafunzo-kazini, utoshelevu wa mafunzo hayo na kupokea ripoti za walimu waliohudhuria mafunzo-kazini ili kufanikisha ufundishaji na ujifunzaji wa Kiswahili.</w:t>
      </w:r>
    </w:p>
    <w:p w:rsidR="00E90AC8" w:rsidRDefault="00E90AC8" w:rsidP="00E90AC8">
      <w:pPr>
        <w:spacing w:after="0" w:line="240" w:lineRule="auto"/>
        <w:jc w:val="both"/>
        <w:rPr>
          <w:rFonts w:ascii="Times New Roman" w:hAnsi="Times New Roman"/>
          <w:b/>
          <w:i/>
          <w:sz w:val="24"/>
          <w:szCs w:val="24"/>
        </w:rPr>
      </w:pPr>
    </w:p>
    <w:p w:rsidR="00E90AC8" w:rsidRDefault="00E90AC8" w:rsidP="00E90AC8">
      <w:pPr>
        <w:spacing w:after="0" w:line="240" w:lineRule="auto"/>
        <w:jc w:val="both"/>
        <w:rPr>
          <w:rFonts w:ascii="Times New Roman" w:hAnsi="Times New Roman"/>
          <w:b/>
          <w:i/>
          <w:sz w:val="24"/>
          <w:szCs w:val="24"/>
        </w:rPr>
      </w:pPr>
    </w:p>
    <w:p w:rsidR="00E90AC8"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Kuaminika kwa </w:t>
      </w:r>
      <w:r>
        <w:rPr>
          <w:rFonts w:ascii="Times New Roman" w:hAnsi="Times New Roman"/>
          <w:b/>
          <w:i/>
          <w:sz w:val="24"/>
          <w:szCs w:val="24"/>
        </w:rPr>
        <w:t>V</w:t>
      </w:r>
      <w:r w:rsidRPr="00FB301D">
        <w:rPr>
          <w:rFonts w:ascii="Times New Roman" w:hAnsi="Times New Roman"/>
          <w:b/>
          <w:i/>
          <w:sz w:val="24"/>
          <w:szCs w:val="24"/>
        </w:rPr>
        <w:t xml:space="preserve">ifaa vya </w:t>
      </w:r>
      <w:r>
        <w:rPr>
          <w:rFonts w:ascii="Times New Roman" w:hAnsi="Times New Roman"/>
          <w:b/>
          <w:i/>
          <w:sz w:val="24"/>
          <w:szCs w:val="24"/>
        </w:rPr>
        <w:t>U</w:t>
      </w:r>
      <w:r w:rsidRPr="00FB301D">
        <w:rPr>
          <w:rFonts w:ascii="Times New Roman" w:hAnsi="Times New Roman"/>
          <w:b/>
          <w:i/>
          <w:sz w:val="24"/>
          <w:szCs w:val="24"/>
        </w:rPr>
        <w:t>tafiti</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 xml:space="preserve">Watafiti walithibitisha kuaminika kwa vifaa vya utafiti kabla ya kuvitumia nyanjani. Kwa mujibu wa Mugenda na Mugenda (2003), kuaminika kwa kifaa ni kiwango cha kifaa kutoa matokeo ya kutegemewa au data baada ya majaribio kadhaa. Mtafiti alitumia mbinu ya ugawaji-nusu kubainisha kuamika kwa vifaa vya utafiti.  Maswali yaligawanywa kinasibu katika nusu mbili na kupewa namba chanya na hasi. Kisha matokeo yakaorodheshwa. Matokeo ya nusu moja yalilinganishwa na ya nusu ya pili. Kutokana na kuaminika kwa jaribio nusu, marekebisho nusu ya jaribio zima yalikadiriwa kwa kutumia fomyula ya utabiri ya Spearman Brown ambayo inasema kizidishi cha kuaminika (re) kwa jaribio zima hukokotolewa kwa kutmia fomyula: </w:t>
      </w: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Re=2r/1+r</w:t>
      </w:r>
    </w:p>
    <w:p w:rsidR="00E90AC8" w:rsidRPr="00C21B18" w:rsidRDefault="00E90AC8" w:rsidP="00E90AC8">
      <w:pPr>
        <w:spacing w:after="0" w:line="240" w:lineRule="auto"/>
        <w:ind w:left="720"/>
        <w:jc w:val="both"/>
        <w:rPr>
          <w:rFonts w:ascii="Times New Roman" w:hAnsi="Times New Roman"/>
          <w:sz w:val="20"/>
          <w:szCs w:val="20"/>
        </w:rPr>
      </w:pPr>
      <w:r w:rsidRPr="00C21B18">
        <w:rPr>
          <w:rFonts w:ascii="Times New Roman" w:hAnsi="Times New Roman"/>
          <w:sz w:val="20"/>
          <w:szCs w:val="20"/>
        </w:rPr>
        <w:t>Ambapo: Re= Kuaminika kwa jaribio la asili</w:t>
      </w:r>
    </w:p>
    <w:p w:rsidR="00E90AC8" w:rsidRPr="00FB301D" w:rsidRDefault="00E90AC8" w:rsidP="00E90AC8">
      <w:pPr>
        <w:spacing w:after="0" w:line="240" w:lineRule="auto"/>
        <w:ind w:left="1890" w:hanging="360"/>
        <w:jc w:val="both"/>
        <w:rPr>
          <w:rFonts w:ascii="Times New Roman" w:hAnsi="Times New Roman"/>
          <w:sz w:val="24"/>
          <w:szCs w:val="24"/>
        </w:rPr>
      </w:pPr>
      <w:r w:rsidRPr="00C21B18">
        <w:rPr>
          <w:rFonts w:ascii="Times New Roman" w:hAnsi="Times New Roman"/>
          <w:sz w:val="20"/>
          <w:szCs w:val="20"/>
        </w:rPr>
        <w:t xml:space="preserve">r= </w:t>
      </w:r>
      <w:r>
        <w:rPr>
          <w:rFonts w:ascii="Times New Roman" w:hAnsi="Times New Roman"/>
          <w:sz w:val="20"/>
          <w:szCs w:val="20"/>
        </w:rPr>
        <w:t xml:space="preserve"> </w:t>
      </w:r>
      <w:r w:rsidRPr="00C21B18">
        <w:rPr>
          <w:rFonts w:ascii="Times New Roman" w:hAnsi="Times New Roman"/>
          <w:sz w:val="20"/>
          <w:szCs w:val="20"/>
        </w:rPr>
        <w:t>Kuaminika kwa kizidishi kunakotokana na kuwianisha matokeo ya maswali chanya na hasi. Kizidishi cha uwiano 0.76 kilipatikana hivyo kukifanya kifaa kuwa mwafaka kwa utafiti</w:t>
      </w:r>
      <w:r w:rsidRPr="00FB301D">
        <w:rPr>
          <w:rFonts w:ascii="Times New Roman" w:hAnsi="Times New Roman"/>
          <w:sz w:val="24"/>
          <w:szCs w:val="24"/>
        </w:rPr>
        <w:t>.</w:t>
      </w:r>
    </w:p>
    <w:p w:rsidR="00E90AC8" w:rsidRDefault="00E90AC8" w:rsidP="00E90AC8">
      <w:pPr>
        <w:spacing w:after="0" w:line="240" w:lineRule="auto"/>
        <w:ind w:left="1170" w:hanging="1170"/>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Uthabiti wa </w:t>
      </w:r>
      <w:r>
        <w:rPr>
          <w:rFonts w:ascii="Times New Roman" w:hAnsi="Times New Roman"/>
          <w:b/>
          <w:i/>
          <w:sz w:val="24"/>
          <w:szCs w:val="24"/>
        </w:rPr>
        <w:t>V</w:t>
      </w:r>
      <w:r w:rsidRPr="00FB301D">
        <w:rPr>
          <w:rFonts w:ascii="Times New Roman" w:hAnsi="Times New Roman"/>
          <w:b/>
          <w:i/>
          <w:sz w:val="24"/>
          <w:szCs w:val="24"/>
        </w:rPr>
        <w:t xml:space="preserve">ifaa vya </w:t>
      </w:r>
      <w:r>
        <w:rPr>
          <w:rFonts w:ascii="Times New Roman" w:hAnsi="Times New Roman"/>
          <w:b/>
          <w:i/>
          <w:sz w:val="24"/>
          <w:szCs w:val="24"/>
        </w:rPr>
        <w:t>U</w:t>
      </w:r>
      <w:r w:rsidRPr="00FB301D">
        <w:rPr>
          <w:rFonts w:ascii="Times New Roman" w:hAnsi="Times New Roman"/>
          <w:b/>
          <w:i/>
          <w:sz w:val="24"/>
          <w:szCs w:val="24"/>
        </w:rPr>
        <w:t>tafiti</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Kabla ya kutumia vifaa vya utafiti, watafiti walibainisha uthabiti wa vifaa. Kwa mujibu wa Saunders (2009), uthabiti wa yaliyomo wa kifaa hurejelea hali ya kifaa kushughulikia mada kwa utoshelevu. Watafiti walitumia maoni ya watalaamu ambao walijadili vifaa na malengo ya utafiti kabla ya kutoa mapendekezo yaliyozingatiwa kuiamarisha vifaa vya utafiti vilivyotumiwa katika utafiti huu.</w:t>
      </w:r>
    </w:p>
    <w:p w:rsidR="00E90AC8"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Utaratibu wa Kukusanya Data</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 xml:space="preserve">Watafiti walizuru shule zilizoteuliwa ambapo maelewano na walimu wakuu na walimu wa Kiswahili yaliafikiwa. Kwa idhini na msaada wa utawala wa shule, mtafiti aliwapa walimu hojaji. Walimu walipewa muda wa juma moja kujaza hojaji wakiwa huru bila vishawishi. Mahojiano na walimu wakuu kwa kutumia mwongozo wa uchunzaji yalifanywa siku ambayo walimu walipewa hojaji. Data ya utafiti huu ilikusanywa kati ya mwezi Septemba na Oktoba 2014. </w:t>
      </w:r>
    </w:p>
    <w:p w:rsidR="00E90AC8"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Mbinu za Kuchanganua Data </w:t>
      </w: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 xml:space="preserve">Baada ya kukusanya data kwa kutumia hojaji na mwongozo wa uchunzaji, data ilipangwa na kuainishwa kwa kuzingatia maswali ya utafiti. Data ya ubora ilihaririwa kutambua maswali </w:t>
      </w:r>
      <w:r w:rsidRPr="00FB301D">
        <w:rPr>
          <w:rFonts w:ascii="Times New Roman" w:hAnsi="Times New Roman"/>
          <w:sz w:val="24"/>
          <w:szCs w:val="24"/>
        </w:rPr>
        <w:lastRenderedPageBreak/>
        <w:t>ambayo huenda yalijibiwa visivyo. Data ya upimaji ilikodiwa kwa kutumia programu ya tarakilishi (SPSS). Matokeo yaliwasilishwa kwa majedwali, asilimia, usambazaji marudio na takwimu wastani. Data ya kitakwimu katika majedwali ilishadidiwa na maelezo kabla ya kufanyiwa uamuzi na mahitimisho.</w:t>
      </w:r>
    </w:p>
    <w:p w:rsidR="00E90AC8" w:rsidRDefault="00E90AC8" w:rsidP="00E90AC8">
      <w:pPr>
        <w:spacing w:after="0" w:line="240" w:lineRule="auto"/>
        <w:jc w:val="both"/>
        <w:rPr>
          <w:rFonts w:ascii="Times New Roman" w:hAnsi="Times New Roman"/>
          <w:b/>
          <w:sz w:val="24"/>
          <w:szCs w:val="24"/>
        </w:rPr>
      </w:pPr>
    </w:p>
    <w:p w:rsidR="00E90AC8" w:rsidRDefault="00E90AC8" w:rsidP="00E90AC8">
      <w:pPr>
        <w:spacing w:after="0" w:line="240" w:lineRule="auto"/>
        <w:jc w:val="both"/>
        <w:rPr>
          <w:rFonts w:ascii="Times New Roman" w:hAnsi="Times New Roman"/>
          <w:b/>
          <w:sz w:val="24"/>
          <w:szCs w:val="24"/>
        </w:rPr>
      </w:pPr>
    </w:p>
    <w:p w:rsidR="00E90AC8" w:rsidRDefault="00E90AC8" w:rsidP="00E90AC8">
      <w:pPr>
        <w:spacing w:after="0" w:line="240" w:lineRule="auto"/>
        <w:jc w:val="both"/>
        <w:rPr>
          <w:rFonts w:ascii="Times New Roman" w:hAnsi="Times New Roman"/>
          <w:b/>
          <w:sz w:val="24"/>
          <w:szCs w:val="24"/>
        </w:rPr>
      </w:pPr>
    </w:p>
    <w:p w:rsidR="00E90AC8" w:rsidRDefault="00E90AC8" w:rsidP="00E90AC8">
      <w:pPr>
        <w:spacing w:after="0" w:line="240" w:lineRule="auto"/>
        <w:jc w:val="both"/>
        <w:rPr>
          <w:rFonts w:ascii="Times New Roman" w:hAnsi="Times New Roman"/>
          <w:b/>
          <w:sz w:val="24"/>
          <w:szCs w:val="24"/>
        </w:rPr>
      </w:pPr>
    </w:p>
    <w:p w:rsidR="00E90AC8" w:rsidRPr="00FB301D" w:rsidRDefault="00E90AC8" w:rsidP="00E90AC8">
      <w:pPr>
        <w:spacing w:after="0" w:line="240" w:lineRule="auto"/>
        <w:jc w:val="both"/>
        <w:rPr>
          <w:rFonts w:ascii="Times New Roman" w:hAnsi="Times New Roman"/>
          <w:b/>
          <w:sz w:val="24"/>
          <w:szCs w:val="24"/>
        </w:rPr>
      </w:pPr>
      <w:r w:rsidRPr="00FB301D">
        <w:rPr>
          <w:rFonts w:ascii="Times New Roman" w:hAnsi="Times New Roman"/>
          <w:b/>
          <w:sz w:val="24"/>
          <w:szCs w:val="24"/>
        </w:rPr>
        <w:t>Uchanganuzi na Ufafanuzi wa Data</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Katika utafiti huu hojaji zote walizopewa wakuu wa Kiswahili zilirejeshwa. Walimu wote wakuu walishiriki katika mahojiano.</w:t>
      </w:r>
    </w:p>
    <w:p w:rsidR="00E90AC8" w:rsidRDefault="00E90AC8" w:rsidP="00E90AC8">
      <w:pPr>
        <w:spacing w:after="0" w:line="240" w:lineRule="auto"/>
        <w:jc w:val="both"/>
        <w:rPr>
          <w:rFonts w:ascii="Times New Roman" w:hAnsi="Times New Roman"/>
          <w:b/>
          <w:i/>
          <w:sz w:val="24"/>
          <w:szCs w:val="24"/>
        </w:rPr>
      </w:pPr>
    </w:p>
    <w:p w:rsidR="00E90AC8" w:rsidRPr="00FB301D" w:rsidRDefault="00E90AC8" w:rsidP="00E90AC8">
      <w:pPr>
        <w:spacing w:after="0" w:line="240" w:lineRule="auto"/>
        <w:jc w:val="both"/>
        <w:rPr>
          <w:rFonts w:ascii="Times New Roman" w:hAnsi="Times New Roman"/>
          <w:b/>
          <w:i/>
          <w:sz w:val="24"/>
          <w:szCs w:val="24"/>
        </w:rPr>
      </w:pPr>
      <w:r w:rsidRPr="00FB301D">
        <w:rPr>
          <w:rFonts w:ascii="Times New Roman" w:hAnsi="Times New Roman"/>
          <w:b/>
          <w:i/>
          <w:sz w:val="24"/>
          <w:szCs w:val="24"/>
        </w:rPr>
        <w:t xml:space="preserve">Data ya Kidemografiki ya </w:t>
      </w:r>
      <w:r>
        <w:rPr>
          <w:rFonts w:ascii="Times New Roman" w:hAnsi="Times New Roman"/>
          <w:b/>
          <w:i/>
          <w:sz w:val="24"/>
          <w:szCs w:val="24"/>
        </w:rPr>
        <w:t>W</w:t>
      </w:r>
      <w:r w:rsidRPr="00FB301D">
        <w:rPr>
          <w:rFonts w:ascii="Times New Roman" w:hAnsi="Times New Roman"/>
          <w:b/>
          <w:i/>
          <w:sz w:val="24"/>
          <w:szCs w:val="24"/>
        </w:rPr>
        <w:t xml:space="preserve">akuu wa </w:t>
      </w:r>
      <w:r>
        <w:rPr>
          <w:rFonts w:ascii="Times New Roman" w:hAnsi="Times New Roman"/>
          <w:b/>
          <w:i/>
          <w:sz w:val="24"/>
          <w:szCs w:val="24"/>
        </w:rPr>
        <w:t>S</w:t>
      </w:r>
      <w:r w:rsidRPr="00FB301D">
        <w:rPr>
          <w:rFonts w:ascii="Times New Roman" w:hAnsi="Times New Roman"/>
          <w:b/>
          <w:i/>
          <w:sz w:val="24"/>
          <w:szCs w:val="24"/>
        </w:rPr>
        <w:t>omo la Kiswahili</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Ili kupata habari za kidemografiki, wakuu wa somo la Kiswahili walihitajika kuonyesha jinsia yao. Ilitambuliwa kuwa 11(84.6%) walikuwa wanaume na 2</w:t>
      </w:r>
      <w:r>
        <w:rPr>
          <w:rFonts w:ascii="Times New Roman" w:hAnsi="Times New Roman"/>
          <w:sz w:val="24"/>
          <w:szCs w:val="24"/>
        </w:rPr>
        <w:t xml:space="preserve"> </w:t>
      </w:r>
      <w:r w:rsidRPr="00FB301D">
        <w:rPr>
          <w:rFonts w:ascii="Times New Roman" w:hAnsi="Times New Roman"/>
          <w:sz w:val="24"/>
          <w:szCs w:val="24"/>
        </w:rPr>
        <w:t>(15.4%) wanawake. Data inaonyesha kuwa wakuu wengi wa Kiswahili walikuwa wanaume. Walimu walihitajika kuonyesha uhitimu wao wa kitaalamu uliowasilishwa katika Jedwali 2.</w:t>
      </w:r>
    </w:p>
    <w:p w:rsidR="00E90AC8" w:rsidRDefault="00E90AC8" w:rsidP="00E90AC8">
      <w:pPr>
        <w:spacing w:after="0" w:line="240" w:lineRule="auto"/>
        <w:jc w:val="both"/>
        <w:rPr>
          <w:rFonts w:ascii="Times New Roman" w:hAnsi="Times New Roman"/>
          <w:sz w:val="24"/>
          <w:szCs w:val="24"/>
        </w:rPr>
      </w:pPr>
    </w:p>
    <w:p w:rsidR="00E90AC8" w:rsidRPr="00335650" w:rsidRDefault="00E90AC8" w:rsidP="00E90AC8">
      <w:pPr>
        <w:spacing w:after="0" w:line="240" w:lineRule="auto"/>
        <w:jc w:val="both"/>
        <w:rPr>
          <w:rFonts w:ascii="Times New Roman" w:hAnsi="Times New Roman"/>
          <w:b/>
          <w:i/>
          <w:sz w:val="24"/>
          <w:szCs w:val="24"/>
        </w:rPr>
      </w:pPr>
      <w:r w:rsidRPr="00335650">
        <w:rPr>
          <w:rFonts w:ascii="Times New Roman" w:hAnsi="Times New Roman"/>
          <w:b/>
          <w:i/>
          <w:sz w:val="24"/>
          <w:szCs w:val="24"/>
        </w:rPr>
        <w:t>Jedwali 2.</w:t>
      </w: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Viwango vya elimu vya wakuu wa somo la Kiswahili</w:t>
      </w:r>
    </w:p>
    <w:tbl>
      <w:tblPr>
        <w:tblW w:w="0" w:type="auto"/>
        <w:tblLook w:val="04A0"/>
      </w:tblPr>
      <w:tblGrid>
        <w:gridCol w:w="5295"/>
      </w:tblGrid>
      <w:tr w:rsidR="00E90AC8" w:rsidRPr="00F61E72" w:rsidTr="00712E96">
        <w:trPr>
          <w:trHeight w:val="720"/>
        </w:trPr>
        <w:tc>
          <w:tcPr>
            <w:tcW w:w="5040" w:type="dxa"/>
          </w:tcPr>
          <w:tbl>
            <w:tblPr>
              <w:tblpPr w:leftFromText="180" w:rightFromText="180" w:vertAnchor="text" w:horzAnchor="margin" w:tblpY="-224"/>
              <w:tblOverlap w:val="never"/>
              <w:tblW w:w="5079" w:type="dxa"/>
              <w:tblBorders>
                <w:top w:val="single" w:sz="8" w:space="0" w:color="4472C4"/>
                <w:left w:val="single" w:sz="8" w:space="0" w:color="4472C4"/>
                <w:bottom w:val="single" w:sz="8" w:space="0" w:color="4472C4"/>
                <w:right w:val="single" w:sz="8" w:space="0" w:color="4472C4"/>
              </w:tblBorders>
              <w:tblLook w:val="0660"/>
            </w:tblPr>
            <w:tblGrid>
              <w:gridCol w:w="3550"/>
              <w:gridCol w:w="431"/>
              <w:gridCol w:w="876"/>
              <w:gridCol w:w="222"/>
            </w:tblGrid>
            <w:tr w:rsidR="00E90AC8" w:rsidRPr="00F61E72" w:rsidTr="00712E96">
              <w:trPr>
                <w:trHeight w:val="210"/>
              </w:trPr>
              <w:tc>
                <w:tcPr>
                  <w:tcW w:w="2243" w:type="pct"/>
                  <w:tcBorders>
                    <w:top w:val="nil"/>
                    <w:left w:val="nil"/>
                    <w:bottom w:val="single" w:sz="24" w:space="0" w:color="4472C4"/>
                    <w:right w:val="nil"/>
                  </w:tcBorders>
                  <w:shd w:val="clear" w:color="auto" w:fill="FFFFFF"/>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Uhitimu wa Kitaalamu         Idadi</w:t>
                  </w:r>
                </w:p>
              </w:tc>
              <w:tc>
                <w:tcPr>
                  <w:tcW w:w="1212" w:type="pct"/>
                  <w:tcBorders>
                    <w:top w:val="nil"/>
                    <w:left w:val="nil"/>
                    <w:bottom w:val="single" w:sz="24" w:space="0" w:color="4472C4"/>
                    <w:right w:val="nil"/>
                  </w:tcBorders>
                  <w:shd w:val="clear" w:color="auto" w:fill="FFFFFF"/>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p>
              </w:tc>
              <w:tc>
                <w:tcPr>
                  <w:tcW w:w="691" w:type="pct"/>
                  <w:tcBorders>
                    <w:top w:val="nil"/>
                    <w:left w:val="nil"/>
                    <w:bottom w:val="single" w:sz="24" w:space="0" w:color="4472C4"/>
                    <w:right w:val="nil"/>
                  </w:tcBorders>
                  <w:shd w:val="clear" w:color="auto" w:fill="FFFFFF"/>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Pr>
                      <w:rFonts w:ascii="Times New Roman" w:eastAsia="Times New Roman" w:hAnsi="Times New Roman"/>
                      <w:color w:val="000000"/>
                      <w:sz w:val="24"/>
                      <w:szCs w:val="24"/>
                      <w:lang w:bidi="en-US"/>
                    </w:rPr>
                    <w:t xml:space="preserve">       </w:t>
                  </w:r>
                  <w:r w:rsidRPr="00F61E72">
                    <w:rPr>
                      <w:rFonts w:ascii="Times New Roman" w:eastAsia="Times New Roman" w:hAnsi="Times New Roman"/>
                      <w:color w:val="000000"/>
                      <w:sz w:val="24"/>
                      <w:szCs w:val="24"/>
                      <w:lang w:bidi="en-US"/>
                    </w:rPr>
                    <w:t>%</w:t>
                  </w:r>
                </w:p>
              </w:tc>
              <w:tc>
                <w:tcPr>
                  <w:tcW w:w="854" w:type="pct"/>
                  <w:tcBorders>
                    <w:top w:val="nil"/>
                    <w:left w:val="nil"/>
                    <w:bottom w:val="single" w:sz="24" w:space="0" w:color="4472C4"/>
                    <w:right w:val="nil"/>
                  </w:tcBorders>
                  <w:shd w:val="clear" w:color="auto" w:fill="FFFFFF"/>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p>
              </w:tc>
            </w:tr>
            <w:tr w:rsidR="00E90AC8" w:rsidRPr="00F61E72" w:rsidTr="00712E96">
              <w:trPr>
                <w:trHeight w:val="210"/>
              </w:trPr>
              <w:tc>
                <w:tcPr>
                  <w:tcW w:w="2243"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Wasiohitimu                               2</w:t>
                  </w:r>
                </w:p>
              </w:tc>
              <w:tc>
                <w:tcPr>
                  <w:tcW w:w="1212" w:type="pct"/>
                </w:tcPr>
                <w:p w:rsidR="00E90AC8" w:rsidRPr="00F61E72" w:rsidRDefault="00E90AC8" w:rsidP="00712E96">
                  <w:pPr>
                    <w:spacing w:after="0" w:line="240" w:lineRule="auto"/>
                    <w:jc w:val="both"/>
                    <w:rPr>
                      <w:rStyle w:val="SubtleEmphasis"/>
                      <w:rFonts w:ascii="Times New Roman" w:eastAsia="Times New Roman" w:hAnsi="Times New Roman"/>
                      <w:sz w:val="24"/>
                      <w:szCs w:val="24"/>
                      <w:lang w:bidi="en-US"/>
                    </w:rPr>
                  </w:pPr>
                </w:p>
              </w:tc>
              <w:tc>
                <w:tcPr>
                  <w:tcW w:w="691" w:type="pct"/>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 xml:space="preserve">  15.38</w:t>
                  </w:r>
                </w:p>
              </w:tc>
              <w:tc>
                <w:tcPr>
                  <w:tcW w:w="854" w:type="pct"/>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p>
              </w:tc>
            </w:tr>
            <w:tr w:rsidR="00E90AC8" w:rsidRPr="00F61E72" w:rsidTr="00712E96">
              <w:trPr>
                <w:trHeight w:val="188"/>
              </w:trPr>
              <w:tc>
                <w:tcPr>
                  <w:tcW w:w="2243"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Diploma ya Ualimu                     2</w:t>
                  </w:r>
                </w:p>
              </w:tc>
              <w:tc>
                <w:tcPr>
                  <w:tcW w:w="1212"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691"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15.38</w:t>
                  </w:r>
                </w:p>
              </w:tc>
              <w:tc>
                <w:tcPr>
                  <w:tcW w:w="854"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r>
            <w:tr w:rsidR="00E90AC8" w:rsidRPr="00F61E72" w:rsidTr="00712E96">
              <w:trPr>
                <w:trHeight w:val="200"/>
              </w:trPr>
              <w:tc>
                <w:tcPr>
                  <w:tcW w:w="2243"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Shahada ya Kwanza                    8</w:t>
                  </w:r>
                </w:p>
              </w:tc>
              <w:tc>
                <w:tcPr>
                  <w:tcW w:w="1212"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691"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61.54</w:t>
                  </w:r>
                </w:p>
              </w:tc>
              <w:tc>
                <w:tcPr>
                  <w:tcW w:w="854"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r>
            <w:tr w:rsidR="00E90AC8" w:rsidRPr="00F61E72" w:rsidTr="00712E96">
              <w:trPr>
                <w:trHeight w:val="200"/>
              </w:trPr>
              <w:tc>
                <w:tcPr>
                  <w:tcW w:w="2243"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Uzamili                                       1</w:t>
                  </w:r>
                </w:p>
              </w:tc>
              <w:tc>
                <w:tcPr>
                  <w:tcW w:w="1212"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691"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7.70</w:t>
                  </w:r>
                </w:p>
              </w:tc>
              <w:tc>
                <w:tcPr>
                  <w:tcW w:w="854"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r>
            <w:tr w:rsidR="00E90AC8" w:rsidRPr="00F61E72" w:rsidTr="00712E96">
              <w:trPr>
                <w:trHeight w:val="200"/>
              </w:trPr>
              <w:tc>
                <w:tcPr>
                  <w:tcW w:w="2243"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p>
              </w:tc>
              <w:tc>
                <w:tcPr>
                  <w:tcW w:w="1212"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691"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854"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r>
            <w:tr w:rsidR="00E90AC8" w:rsidRPr="00F61E72" w:rsidTr="00712E96">
              <w:trPr>
                <w:trHeight w:val="200"/>
              </w:trPr>
              <w:tc>
                <w:tcPr>
                  <w:tcW w:w="2243" w:type="pct"/>
                  <w:tcBorders>
                    <w:top w:val="single" w:sz="8" w:space="0" w:color="4472C4"/>
                    <w:left w:val="nil"/>
                    <w:bottom w:val="single" w:sz="4" w:space="0" w:color="auto"/>
                    <w:right w:val="nil"/>
                  </w:tcBorders>
                  <w:shd w:val="clear" w:color="auto" w:fill="FFFFFF"/>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Jumla                                          13</w:t>
                  </w:r>
                </w:p>
              </w:tc>
              <w:tc>
                <w:tcPr>
                  <w:tcW w:w="1212" w:type="pct"/>
                  <w:tcBorders>
                    <w:top w:val="single" w:sz="8" w:space="0" w:color="4472C4"/>
                    <w:left w:val="nil"/>
                    <w:bottom w:val="single" w:sz="4" w:space="0" w:color="auto"/>
                    <w:right w:val="nil"/>
                  </w:tcBorders>
                  <w:shd w:val="clear" w:color="auto" w:fill="FFFFFF"/>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691" w:type="pct"/>
                  <w:tcBorders>
                    <w:top w:val="single" w:sz="8" w:space="0" w:color="4472C4"/>
                    <w:left w:val="nil"/>
                    <w:bottom w:val="single" w:sz="4" w:space="0" w:color="auto"/>
                    <w:right w:val="nil"/>
                  </w:tcBorders>
                  <w:shd w:val="clear" w:color="auto" w:fill="FFFFFF"/>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 xml:space="preserve">     100</w:t>
                  </w:r>
                </w:p>
              </w:tc>
              <w:tc>
                <w:tcPr>
                  <w:tcW w:w="854" w:type="pct"/>
                  <w:tcBorders>
                    <w:top w:val="single" w:sz="8" w:space="0" w:color="4472C4"/>
                    <w:left w:val="nil"/>
                    <w:bottom w:val="single" w:sz="4" w:space="0" w:color="auto"/>
                    <w:right w:val="nil"/>
                  </w:tcBorders>
                  <w:shd w:val="clear" w:color="auto" w:fill="FFFFFF"/>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r>
          </w:tbl>
          <w:p w:rsidR="00E90AC8" w:rsidRPr="00B14039" w:rsidRDefault="00E90AC8" w:rsidP="00712E96">
            <w:pPr>
              <w:pStyle w:val="FootnoteText"/>
              <w:jc w:val="both"/>
              <w:rPr>
                <w:rFonts w:ascii="Times New Roman" w:hAnsi="Times New Roman"/>
                <w:b/>
                <w:bCs/>
                <w:sz w:val="24"/>
                <w:szCs w:val="24"/>
              </w:rPr>
            </w:pPr>
          </w:p>
        </w:tc>
      </w:tr>
    </w:tbl>
    <w:p w:rsidR="00E90AC8" w:rsidRPr="00FB301D"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Jedwali 2 linaonyesha kuwa asilimia kubwa ya wakuu wa Kiswahili walikuwa wamehitimu kufundisha Kiswahili. Kuhitimu kwao kuliwawezesha kutoa habari za kuaminika kuhusu ufundishaji wa Kiswahili katika shule zao.</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Wakuu wa Kiswahili pia walihitajika Kuonyesha tajriba zao katika ufundishaji wa Kiswahili na matokeo yakaonyeshwa katika Jedwali 3.</w:t>
      </w:r>
    </w:p>
    <w:p w:rsidR="00E90AC8" w:rsidRDefault="00E90AC8" w:rsidP="00E90AC8">
      <w:pPr>
        <w:spacing w:after="0" w:line="240" w:lineRule="auto"/>
        <w:jc w:val="both"/>
        <w:rPr>
          <w:rFonts w:ascii="Times New Roman" w:hAnsi="Times New Roman"/>
          <w:sz w:val="24"/>
          <w:szCs w:val="24"/>
        </w:rPr>
      </w:pPr>
    </w:p>
    <w:p w:rsidR="00E90AC8" w:rsidRPr="00335650" w:rsidRDefault="00E90AC8" w:rsidP="00E90AC8">
      <w:pPr>
        <w:spacing w:after="0" w:line="240" w:lineRule="auto"/>
        <w:jc w:val="both"/>
        <w:rPr>
          <w:rFonts w:ascii="Times New Roman" w:hAnsi="Times New Roman"/>
          <w:b/>
          <w:i/>
          <w:sz w:val="24"/>
          <w:szCs w:val="24"/>
        </w:rPr>
      </w:pPr>
      <w:r w:rsidRPr="00335650">
        <w:rPr>
          <w:rFonts w:ascii="Times New Roman" w:hAnsi="Times New Roman"/>
          <w:b/>
          <w:i/>
          <w:sz w:val="24"/>
          <w:szCs w:val="24"/>
        </w:rPr>
        <w:t>Jedwali 3</w:t>
      </w: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Tajriba ya kufundisha Kiswahili</w:t>
      </w:r>
    </w:p>
    <w:tbl>
      <w:tblPr>
        <w:tblW w:w="0" w:type="auto"/>
        <w:tblLook w:val="04A0"/>
      </w:tblPr>
      <w:tblGrid>
        <w:gridCol w:w="5236"/>
      </w:tblGrid>
      <w:tr w:rsidR="00E90AC8" w:rsidRPr="00F61E72" w:rsidTr="00712E96">
        <w:trPr>
          <w:trHeight w:val="720"/>
        </w:trPr>
        <w:tc>
          <w:tcPr>
            <w:tcW w:w="5040" w:type="dxa"/>
          </w:tcPr>
          <w:tbl>
            <w:tblPr>
              <w:tblpPr w:leftFromText="180" w:rightFromText="180" w:vertAnchor="text" w:horzAnchor="margin" w:tblpY="-224"/>
              <w:tblOverlap w:val="never"/>
              <w:tblW w:w="5020" w:type="dxa"/>
              <w:tblBorders>
                <w:top w:val="single" w:sz="8" w:space="0" w:color="4472C4"/>
                <w:left w:val="single" w:sz="8" w:space="0" w:color="4472C4"/>
                <w:bottom w:val="single" w:sz="8" w:space="0" w:color="4472C4"/>
                <w:right w:val="single" w:sz="8" w:space="0" w:color="4472C4"/>
              </w:tblBorders>
              <w:tblLook w:val="0660"/>
            </w:tblPr>
            <w:tblGrid>
              <w:gridCol w:w="1742"/>
              <w:gridCol w:w="1441"/>
              <w:gridCol w:w="918"/>
              <w:gridCol w:w="919"/>
            </w:tblGrid>
            <w:tr w:rsidR="00E90AC8" w:rsidRPr="00F61E72" w:rsidTr="00712E96">
              <w:trPr>
                <w:trHeight w:val="276"/>
              </w:trPr>
              <w:tc>
                <w:tcPr>
                  <w:tcW w:w="1662" w:type="pct"/>
                  <w:tcBorders>
                    <w:top w:val="nil"/>
                    <w:left w:val="nil"/>
                    <w:bottom w:val="single" w:sz="24" w:space="0" w:color="4472C4"/>
                    <w:right w:val="nil"/>
                  </w:tcBorders>
                  <w:shd w:val="clear" w:color="auto" w:fill="FFFFFF"/>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Tajriba (Miaka)</w:t>
                  </w:r>
                </w:p>
              </w:tc>
              <w:tc>
                <w:tcPr>
                  <w:tcW w:w="1460" w:type="pct"/>
                  <w:tcBorders>
                    <w:top w:val="nil"/>
                    <w:left w:val="nil"/>
                    <w:bottom w:val="single" w:sz="24" w:space="0" w:color="4472C4"/>
                    <w:right w:val="nil"/>
                  </w:tcBorders>
                  <w:shd w:val="clear" w:color="auto" w:fill="FFFFFF"/>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 xml:space="preserve">          Idadi                </w:t>
                  </w:r>
                </w:p>
              </w:tc>
              <w:tc>
                <w:tcPr>
                  <w:tcW w:w="938" w:type="pct"/>
                  <w:tcBorders>
                    <w:top w:val="nil"/>
                    <w:left w:val="nil"/>
                    <w:bottom w:val="single" w:sz="24" w:space="0" w:color="4472C4"/>
                    <w:right w:val="nil"/>
                  </w:tcBorders>
                  <w:shd w:val="clear" w:color="auto" w:fill="FFFFFF"/>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p>
              </w:tc>
              <w:tc>
                <w:tcPr>
                  <w:tcW w:w="939" w:type="pct"/>
                  <w:tcBorders>
                    <w:top w:val="nil"/>
                    <w:left w:val="nil"/>
                    <w:bottom w:val="single" w:sz="24" w:space="0" w:color="4472C4"/>
                    <w:right w:val="nil"/>
                  </w:tcBorders>
                  <w:shd w:val="clear" w:color="auto" w:fill="FFFFFF"/>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Pr>
                      <w:rFonts w:ascii="Times New Roman" w:eastAsia="Times New Roman" w:hAnsi="Times New Roman"/>
                      <w:color w:val="000000"/>
                      <w:sz w:val="24"/>
                      <w:szCs w:val="24"/>
                      <w:lang w:bidi="en-US"/>
                    </w:rPr>
                    <w:t xml:space="preserve">    </w:t>
                  </w:r>
                  <w:r w:rsidRPr="00F61E72">
                    <w:rPr>
                      <w:rFonts w:ascii="Times New Roman" w:eastAsia="Times New Roman" w:hAnsi="Times New Roman"/>
                      <w:color w:val="000000"/>
                      <w:sz w:val="24"/>
                      <w:szCs w:val="24"/>
                      <w:lang w:bidi="en-US"/>
                    </w:rPr>
                    <w:t>%</w:t>
                  </w:r>
                </w:p>
              </w:tc>
            </w:tr>
            <w:tr w:rsidR="00E90AC8" w:rsidRPr="00F61E72" w:rsidTr="00712E96">
              <w:trPr>
                <w:trHeight w:val="276"/>
              </w:trPr>
              <w:tc>
                <w:tcPr>
                  <w:tcW w:w="1662"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 xml:space="preserve">1-5     </w:t>
                  </w:r>
                </w:p>
              </w:tc>
              <w:tc>
                <w:tcPr>
                  <w:tcW w:w="1460" w:type="pct"/>
                </w:tcPr>
                <w:p w:rsidR="00E90AC8" w:rsidRPr="00F61E72" w:rsidRDefault="00E90AC8" w:rsidP="00712E96">
                  <w:pPr>
                    <w:spacing w:after="0" w:line="240" w:lineRule="auto"/>
                    <w:jc w:val="both"/>
                    <w:rPr>
                      <w:rStyle w:val="SubtleEmphasis"/>
                      <w:rFonts w:ascii="Times New Roman" w:eastAsia="Times New Roman" w:hAnsi="Times New Roman"/>
                      <w:i w:val="0"/>
                      <w:sz w:val="24"/>
                      <w:szCs w:val="24"/>
                      <w:lang w:bidi="en-US"/>
                    </w:rPr>
                  </w:pPr>
                  <w:r w:rsidRPr="00F61E72">
                    <w:rPr>
                      <w:rStyle w:val="SubtleEmphasis"/>
                      <w:rFonts w:ascii="Times New Roman" w:eastAsia="Times New Roman" w:hAnsi="Times New Roman"/>
                      <w:sz w:val="24"/>
                      <w:szCs w:val="24"/>
                      <w:lang w:bidi="en-US"/>
                    </w:rPr>
                    <w:t xml:space="preserve">              9</w:t>
                  </w:r>
                </w:p>
              </w:tc>
              <w:tc>
                <w:tcPr>
                  <w:tcW w:w="938" w:type="pct"/>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p>
              </w:tc>
              <w:tc>
                <w:tcPr>
                  <w:tcW w:w="939" w:type="pct"/>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 xml:space="preserve">   69.23</w:t>
                  </w:r>
                </w:p>
              </w:tc>
            </w:tr>
            <w:tr w:rsidR="00E90AC8" w:rsidRPr="00F61E72" w:rsidTr="00712E96">
              <w:trPr>
                <w:trHeight w:val="247"/>
              </w:trPr>
              <w:tc>
                <w:tcPr>
                  <w:tcW w:w="1662"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6-10</w:t>
                  </w:r>
                </w:p>
              </w:tc>
              <w:tc>
                <w:tcPr>
                  <w:tcW w:w="1460"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 xml:space="preserve">              2</w:t>
                  </w:r>
                </w:p>
              </w:tc>
              <w:tc>
                <w:tcPr>
                  <w:tcW w:w="938"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939"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15.39</w:t>
                  </w:r>
                </w:p>
              </w:tc>
            </w:tr>
            <w:tr w:rsidR="00E90AC8" w:rsidRPr="00F61E72" w:rsidTr="00712E96">
              <w:trPr>
                <w:trHeight w:val="262"/>
              </w:trPr>
              <w:tc>
                <w:tcPr>
                  <w:tcW w:w="1662"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11-15</w:t>
                  </w:r>
                </w:p>
              </w:tc>
              <w:tc>
                <w:tcPr>
                  <w:tcW w:w="1460"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 xml:space="preserve">              1</w:t>
                  </w:r>
                </w:p>
              </w:tc>
              <w:tc>
                <w:tcPr>
                  <w:tcW w:w="938"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939"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7.69</w:t>
                  </w:r>
                </w:p>
              </w:tc>
            </w:tr>
            <w:tr w:rsidR="00E90AC8" w:rsidRPr="00F61E72" w:rsidTr="00712E96">
              <w:trPr>
                <w:trHeight w:val="262"/>
              </w:trPr>
              <w:tc>
                <w:tcPr>
                  <w:tcW w:w="1662"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16 na zaidi</w:t>
                  </w:r>
                </w:p>
              </w:tc>
              <w:tc>
                <w:tcPr>
                  <w:tcW w:w="1460"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 xml:space="preserve">              1</w:t>
                  </w:r>
                </w:p>
              </w:tc>
              <w:tc>
                <w:tcPr>
                  <w:tcW w:w="938"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939"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7.69</w:t>
                  </w:r>
                </w:p>
              </w:tc>
            </w:tr>
            <w:tr w:rsidR="00E90AC8" w:rsidRPr="00F61E72" w:rsidTr="00712E96">
              <w:trPr>
                <w:trHeight w:val="262"/>
              </w:trPr>
              <w:tc>
                <w:tcPr>
                  <w:tcW w:w="1662" w:type="pct"/>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p>
              </w:tc>
              <w:tc>
                <w:tcPr>
                  <w:tcW w:w="1460"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938"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939" w:type="pct"/>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r>
            <w:tr w:rsidR="00E90AC8" w:rsidRPr="00F61E72" w:rsidTr="00712E96">
              <w:trPr>
                <w:trHeight w:val="262"/>
              </w:trPr>
              <w:tc>
                <w:tcPr>
                  <w:tcW w:w="1662" w:type="pct"/>
                  <w:tcBorders>
                    <w:top w:val="single" w:sz="8" w:space="0" w:color="4472C4"/>
                    <w:left w:val="nil"/>
                    <w:bottom w:val="single" w:sz="4" w:space="0" w:color="auto"/>
                    <w:right w:val="nil"/>
                  </w:tcBorders>
                  <w:shd w:val="clear" w:color="auto" w:fill="FFFFFF"/>
                  <w:noWrap/>
                </w:tcPr>
                <w:p w:rsidR="00E90AC8" w:rsidRPr="00F61E72" w:rsidRDefault="00E90AC8" w:rsidP="00712E96">
                  <w:pPr>
                    <w:spacing w:after="0" w:line="240" w:lineRule="auto"/>
                    <w:jc w:val="both"/>
                    <w:rPr>
                      <w:rFonts w:ascii="Times New Roman" w:eastAsia="Times New Roman" w:hAnsi="Times New Roman"/>
                      <w:color w:val="000000"/>
                      <w:sz w:val="24"/>
                      <w:szCs w:val="24"/>
                      <w:lang w:bidi="en-US"/>
                    </w:rPr>
                  </w:pPr>
                  <w:r w:rsidRPr="00F61E72">
                    <w:rPr>
                      <w:rFonts w:ascii="Times New Roman" w:eastAsia="Times New Roman" w:hAnsi="Times New Roman"/>
                      <w:color w:val="000000"/>
                      <w:sz w:val="24"/>
                      <w:szCs w:val="24"/>
                      <w:lang w:bidi="en-US"/>
                    </w:rPr>
                    <w:t xml:space="preserve">  Jumla                                  </w:t>
                  </w:r>
                </w:p>
              </w:tc>
              <w:tc>
                <w:tcPr>
                  <w:tcW w:w="1460" w:type="pct"/>
                  <w:tcBorders>
                    <w:top w:val="single" w:sz="8" w:space="0" w:color="4472C4"/>
                    <w:left w:val="nil"/>
                    <w:bottom w:val="single" w:sz="4" w:space="0" w:color="auto"/>
                    <w:right w:val="nil"/>
                  </w:tcBorders>
                  <w:shd w:val="clear" w:color="auto" w:fill="FFFFFF"/>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 xml:space="preserve">             13</w:t>
                  </w:r>
                </w:p>
              </w:tc>
              <w:tc>
                <w:tcPr>
                  <w:tcW w:w="938" w:type="pct"/>
                  <w:tcBorders>
                    <w:top w:val="single" w:sz="8" w:space="0" w:color="4472C4"/>
                    <w:left w:val="nil"/>
                    <w:bottom w:val="single" w:sz="4" w:space="0" w:color="auto"/>
                    <w:right w:val="nil"/>
                  </w:tcBorders>
                  <w:shd w:val="clear" w:color="auto" w:fill="FFFFFF"/>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p>
              </w:tc>
              <w:tc>
                <w:tcPr>
                  <w:tcW w:w="939" w:type="pct"/>
                  <w:tcBorders>
                    <w:top w:val="single" w:sz="8" w:space="0" w:color="4472C4"/>
                    <w:left w:val="nil"/>
                    <w:bottom w:val="single" w:sz="4" w:space="0" w:color="auto"/>
                    <w:right w:val="nil"/>
                  </w:tcBorders>
                  <w:shd w:val="clear" w:color="auto" w:fill="FFFFFF"/>
                </w:tcPr>
                <w:p w:rsidR="00E90AC8" w:rsidRPr="00F61E72" w:rsidRDefault="00E90AC8" w:rsidP="00712E96">
                  <w:pPr>
                    <w:pStyle w:val="DecimalAligned"/>
                    <w:spacing w:after="0" w:line="240" w:lineRule="auto"/>
                    <w:jc w:val="both"/>
                    <w:rPr>
                      <w:rFonts w:ascii="Times New Roman" w:hAnsi="Times New Roman"/>
                      <w:color w:val="000000"/>
                      <w:sz w:val="24"/>
                      <w:szCs w:val="24"/>
                      <w:lang w:bidi="en-US"/>
                    </w:rPr>
                  </w:pPr>
                  <w:r w:rsidRPr="00F61E72">
                    <w:rPr>
                      <w:rFonts w:ascii="Times New Roman" w:hAnsi="Times New Roman"/>
                      <w:color w:val="000000"/>
                      <w:sz w:val="24"/>
                      <w:szCs w:val="24"/>
                      <w:lang w:bidi="en-US"/>
                    </w:rPr>
                    <w:t xml:space="preserve">     100</w:t>
                  </w:r>
                </w:p>
              </w:tc>
            </w:tr>
          </w:tbl>
          <w:p w:rsidR="00E90AC8" w:rsidRPr="00B14039" w:rsidRDefault="00E90AC8" w:rsidP="00712E96">
            <w:pPr>
              <w:pStyle w:val="FootnoteText"/>
              <w:jc w:val="both"/>
              <w:rPr>
                <w:rFonts w:ascii="Times New Roman" w:hAnsi="Times New Roman"/>
                <w:b/>
                <w:bCs/>
                <w:sz w:val="24"/>
                <w:szCs w:val="24"/>
              </w:rPr>
            </w:pPr>
          </w:p>
        </w:tc>
      </w:tr>
    </w:tbl>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 xml:space="preserve">Matokeo katika Jedwali 3, yanaonyesha kuwa walimu wengi 9 (69.23%) hawakuwa na tajriba ya kutosha ya kufundisha Kiswahili. Hali hii inakinzana na maoni ya Muhamad na Rashid </w:t>
      </w:r>
      <w:r w:rsidRPr="00FB301D">
        <w:rPr>
          <w:rFonts w:ascii="Times New Roman" w:hAnsi="Times New Roman"/>
          <w:sz w:val="24"/>
          <w:szCs w:val="24"/>
        </w:rPr>
        <w:lastRenderedPageBreak/>
        <w:t>(2013) wanaosema kuwa tajriba ya mwalimu ni mojawapo ya mihimili muhimu ya ualimu. Data inaonyesha kuwa walimu hawakuwa wamefunza kwa miaka mingi hali iliyotinga juhudi zao za kudadavua changamoto mbalimbali katika mtalaa wa Kiswahili.</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Habari kuhusu mahudhurio ya mafunzo-kazini zilionyesha kuwa walimu wanne (30.77%) hawakuwa wamehudhuria warsha yoyote ya ufundishaji wa Kiswahili, wanne (30.77%) walikuwa wamehudhiria moja, watatu (23.08%) tatu na mmoja (7.69%) alikuwa amehudhuria zaidi ya nne.</w:t>
      </w: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Walimu tisa (69.23%) walisema hawakupata mialiko kuhudhuria warsha kwa wakati au hawakuipata kabisa. Swala la barua za mwaliko kubanwa na walimu wakuu lilitajwa na walimu wanane (61.54%). Ukosefu wa mwongozo na sera rasmi kuhusu mafunzo-kazini kuliyafanya yadunishwe na kutotiliwa maanani kwa mujibu wa walimu kumi (76.92%). Walimu hao kumi, walisema kuwa maandalizi na mahudhurio ya mafunzo-kazini yalitegemea juhudi za watu binafsi na taasisi andalizi. Ugunduzi huu unashadidia maoni ya Jahangir et al (2012) kuwa serikali hazina sera wazi kuhusu mafunzo-kazini ya walimu. Wanasisitiza umuhimu wa watunga-sera kuwa na ruwaza wazi na juhudi za dhati katika uimarishaji wa mafunzo-kazini.</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Utafiti huu ulishughulikia utoshelevu wa mafunzo-kazini kwa walimu tisa (69.23%) waliokuwa wamehudhuria kozi za mafunzo-kazini.  Sita kati yao (66.67%) waliripoti kuwa mafunzo waliyopata hayakuimarisha ufundishaji wao. Kobia na Ndiga (2013) wanaafiki hili ambapo nusu ya waliohudhuria mafunzo-kazini katika utafiti wao hawakufaidi. Walimu waliokosa kufaidi katika utafiti huu walisema kuwa wawezeshaji wengi walijikita katika maswala ya utahini na sio ufundishaji wa mada tata na changamano. Kuhusu utahini, walimu saba (77.78%) walikiri kupata uwezo na ujuzi wa kushughulikia maswali ya mtihani wa kitaifa (KCSE). Walikiri kufaidi mafunzo ya stadi za kutunga na kutahini.</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 xml:space="preserve">Watano kati ya waliohudhuria kozi za mafunzo-kazini (55.56%) walihisi kuwa kuwakusanya walimu kutoka sehemu mbalimbali nchini jijini Nairobi kwa siku moja au mbili hakukuwafaa sana. Walilalamikia uchache wa siku za warsha zilizotangulizwa na kufungwa kwa hotuba ndefu ambazo hazikuhusiana na ufundishaji na ujifunzaji wa Kiswahili. Walimu wote 13 walitaja changamoto za kufundisha hadithi fupi, fasihi simulizi, uandishi wa kiuamilifu, ushairi na isimu jamii mada zilizoasisiwa na Taasisi ya Ukuzaji Mitalaa 2003. Walimu tisa (69.23%) walidai changamoto zao zilitokana na mafunzo waliyopata vyuoni ambayo hayakushughulikia mada hizo. Haya yanaafiki ugunduzi wa Mose </w:t>
      </w:r>
      <w:r>
        <w:rPr>
          <w:rFonts w:ascii="Times New Roman" w:hAnsi="Times New Roman"/>
          <w:sz w:val="24"/>
          <w:szCs w:val="24"/>
        </w:rPr>
        <w:t>na wenzie</w:t>
      </w:r>
      <w:r w:rsidRPr="00FB301D">
        <w:rPr>
          <w:rFonts w:ascii="Times New Roman" w:hAnsi="Times New Roman"/>
          <w:sz w:val="24"/>
          <w:szCs w:val="24"/>
        </w:rPr>
        <w:t xml:space="preserve"> (2012) kuhusu mada zinazowatatiza walimu wa Kiswahili. Saba kati ya waliotatizwa na mada hizo (53.85%) walilalamikia uhaba wa vitabu vya kurejelea wakati wa maandalizi. </w:t>
      </w:r>
    </w:p>
    <w:p w:rsidR="00E90AC8" w:rsidRPr="00FB301D" w:rsidRDefault="00E90AC8" w:rsidP="00E90AC8">
      <w:pPr>
        <w:spacing w:after="0" w:line="240" w:lineRule="auto"/>
        <w:ind w:firstLine="720"/>
        <w:jc w:val="both"/>
        <w:rPr>
          <w:rFonts w:ascii="Times New Roman" w:hAnsi="Times New Roman"/>
          <w:sz w:val="24"/>
          <w:szCs w:val="24"/>
        </w:rPr>
      </w:pPr>
      <w:r w:rsidRPr="00FB301D">
        <w:rPr>
          <w:rFonts w:ascii="Times New Roman" w:hAnsi="Times New Roman"/>
          <w:sz w:val="24"/>
          <w:szCs w:val="24"/>
        </w:rPr>
        <w:t>Walimu wote wakuu walioshirikishwa walisingizia idadi ndogo ya walimu katika shule zao, umbali wa taasisi andalizi na ukosefu wa pesa kama sababu kuu zilizowazuia kuwaruhusu walimu wao kuhudhuria kozi za mafunzo-kazini. Tisa kati yao (69.23%) hawakuona umhimu wa mwalimu kuhudhuria warsha zaidi ya moja. Msimamo huu unakinzana na mapendekezo ya Ombui (2012) kuwa mafunzo-kazini ya walimu yanastahili kuandaliwa mara kwa mara kupitia kwa seminaa na makongamano ili kuzipa usasa stadi za walimu katika ufundishaji wa lugha. Walimu wakuu 11(84.62%) walihisi kuwa mchango wa Kiswahili katika mtalaa mzima ulikuwa mdogo ukilinganishwa na Kiingereza. Hivyo basi walihiari kukipa Kiingereza kipaumbele wakati wowote fursa ya mafunzo ilipopatikana. Walimu wakuu wanane (61.54%) hawakuona haja ya kupokea ripoti za walimu baada ya mahudhirio ya warsha. Msimamo huu uliwavunja walimu moyo. Kwa mujibu wa Omar (2014), walimu waliamini kuwa tathmini iliyofanywa na walimu wakuu baada ya mahudhurio ya warsha ilikuwa na umuhimu mkubwa katika kuwamotisha walimu.</w:t>
      </w:r>
    </w:p>
    <w:p w:rsidR="00E90AC8" w:rsidRDefault="00E90AC8" w:rsidP="00E90AC8">
      <w:pPr>
        <w:spacing w:after="0" w:line="240" w:lineRule="auto"/>
        <w:jc w:val="both"/>
        <w:rPr>
          <w:rFonts w:ascii="Times New Roman" w:hAnsi="Times New Roman"/>
          <w:b/>
          <w:sz w:val="24"/>
          <w:szCs w:val="24"/>
        </w:rPr>
      </w:pPr>
    </w:p>
    <w:p w:rsidR="00E90AC8" w:rsidRPr="00FB301D" w:rsidRDefault="00E90AC8" w:rsidP="00E90AC8">
      <w:pPr>
        <w:spacing w:after="0" w:line="240" w:lineRule="auto"/>
        <w:jc w:val="both"/>
        <w:rPr>
          <w:rFonts w:ascii="Times New Roman" w:hAnsi="Times New Roman"/>
          <w:b/>
          <w:sz w:val="24"/>
          <w:szCs w:val="24"/>
        </w:rPr>
      </w:pPr>
      <w:r w:rsidRPr="00FB301D">
        <w:rPr>
          <w:rFonts w:ascii="Times New Roman" w:hAnsi="Times New Roman"/>
          <w:b/>
          <w:sz w:val="24"/>
          <w:szCs w:val="24"/>
        </w:rPr>
        <w:t>MUHTASARI NA HITIMISHO</w:t>
      </w:r>
    </w:p>
    <w:p w:rsidR="00E90AC8" w:rsidRDefault="00E90AC8" w:rsidP="00E90AC8">
      <w:pPr>
        <w:spacing w:after="0" w:line="240" w:lineRule="auto"/>
        <w:jc w:val="both"/>
        <w:rPr>
          <w:rFonts w:ascii="Times New Roman" w:hAnsi="Times New Roman"/>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lastRenderedPageBreak/>
        <w:t>Utafiti huu ulichunguza athari za mafunzo-kazini kwa walimu wa Kiswahili wa shule za upili katika Gatuzi dogo la Garissa. Matokeo duni ya wanafunzi katika mtihani wa kitaifa ya eneo la utafiti yalisababishwa na umilisi mbovu wa walimu. Umilisi huo mbovu ulichangiwa na maandalizi duni chuoni (Kobia &amp; Ndiga, 2013; KIE, 2005) na mahudhurio mabaya ya mafunzo-kazini ya walimu waliofunza Kiswahili. Kobia na Ndiga (2013) wanakiri kuwa kozi za mafunzo-kazini huathiri utekelezaji wa mtalaa wa Kiswahili. Mahudhurio mabaya ya walimu katika utafiti huu yaliathiri vibaya utekelezaji wa mtalaa. Walimu wakuu walichangia pakubwa hali mbaya ya walimu kitaaluma kwa kutowapa fursa ya kuhudhuria mafunzo-kazini. Upungufu katika utekelezaji wa mtalaa husababisha matokeo mabovu ya wanafunzi katika mitihani kama ilivyoshuhudiwa katika utafiti huu.</w:t>
      </w:r>
    </w:p>
    <w:p w:rsidR="00E90AC8" w:rsidRDefault="00E90AC8" w:rsidP="00E90AC8">
      <w:pPr>
        <w:spacing w:after="0" w:line="240" w:lineRule="auto"/>
        <w:jc w:val="both"/>
        <w:rPr>
          <w:rFonts w:ascii="Times New Roman" w:hAnsi="Times New Roman"/>
          <w:b/>
          <w:i/>
          <w:sz w:val="24"/>
          <w:szCs w:val="24"/>
        </w:rPr>
      </w:pPr>
    </w:p>
    <w:p w:rsidR="00E90AC8" w:rsidRDefault="00E90AC8" w:rsidP="00E90AC8">
      <w:pPr>
        <w:spacing w:after="0" w:line="240" w:lineRule="auto"/>
        <w:jc w:val="both"/>
        <w:rPr>
          <w:rFonts w:ascii="Times New Roman" w:hAnsi="Times New Roman"/>
          <w:b/>
          <w:sz w:val="24"/>
          <w:szCs w:val="24"/>
        </w:rPr>
      </w:pPr>
      <w:r w:rsidRPr="00335650">
        <w:rPr>
          <w:rFonts w:ascii="Times New Roman" w:hAnsi="Times New Roman"/>
          <w:b/>
          <w:sz w:val="24"/>
          <w:szCs w:val="24"/>
        </w:rPr>
        <w:t>Mapendekezo</w:t>
      </w:r>
    </w:p>
    <w:p w:rsidR="00E90AC8" w:rsidRPr="00335650" w:rsidRDefault="00E90AC8" w:rsidP="00E90AC8">
      <w:pPr>
        <w:spacing w:after="0" w:line="240" w:lineRule="auto"/>
        <w:jc w:val="both"/>
        <w:rPr>
          <w:rFonts w:ascii="Times New Roman" w:hAnsi="Times New Roman"/>
          <w:b/>
          <w:sz w:val="24"/>
          <w:szCs w:val="24"/>
        </w:rPr>
      </w:pPr>
    </w:p>
    <w:p w:rsidR="00E90AC8" w:rsidRPr="00FB301D" w:rsidRDefault="00E90AC8" w:rsidP="00E90AC8">
      <w:pPr>
        <w:spacing w:after="0" w:line="240" w:lineRule="auto"/>
        <w:jc w:val="both"/>
        <w:rPr>
          <w:rFonts w:ascii="Times New Roman" w:hAnsi="Times New Roman"/>
          <w:sz w:val="24"/>
          <w:szCs w:val="24"/>
        </w:rPr>
      </w:pPr>
      <w:r w:rsidRPr="00FB301D">
        <w:rPr>
          <w:rFonts w:ascii="Times New Roman" w:hAnsi="Times New Roman"/>
          <w:sz w:val="24"/>
          <w:szCs w:val="24"/>
        </w:rPr>
        <w:t>Utafiti huu unapendekeza yafuatayo:</w:t>
      </w:r>
    </w:p>
    <w:p w:rsidR="00E90AC8" w:rsidRPr="003C7102" w:rsidRDefault="00E90AC8" w:rsidP="00E90AC8">
      <w:pPr>
        <w:pStyle w:val="ListParagraph"/>
        <w:numPr>
          <w:ilvl w:val="0"/>
          <w:numId w:val="1"/>
        </w:numPr>
        <w:jc w:val="both"/>
      </w:pPr>
      <w:proofErr w:type="spellStart"/>
      <w:r w:rsidRPr="00B14039">
        <w:t>Kuwe</w:t>
      </w:r>
      <w:proofErr w:type="spellEnd"/>
      <w:r w:rsidRPr="00B14039">
        <w:t xml:space="preserve"> </w:t>
      </w:r>
      <w:proofErr w:type="spellStart"/>
      <w:proofErr w:type="gramStart"/>
      <w:r w:rsidRPr="00B14039">
        <w:t>na</w:t>
      </w:r>
      <w:proofErr w:type="spellEnd"/>
      <w:proofErr w:type="gramEnd"/>
      <w:r w:rsidRPr="00B14039">
        <w:t xml:space="preserve"> </w:t>
      </w:r>
      <w:proofErr w:type="spellStart"/>
      <w:r w:rsidRPr="00B14039">
        <w:t>kozi</w:t>
      </w:r>
      <w:proofErr w:type="spellEnd"/>
      <w:r w:rsidRPr="00B14039">
        <w:t xml:space="preserve"> </w:t>
      </w:r>
      <w:proofErr w:type="spellStart"/>
      <w:r w:rsidRPr="00B14039">
        <w:t>za</w:t>
      </w:r>
      <w:proofErr w:type="spellEnd"/>
      <w:r w:rsidRPr="00B14039">
        <w:t xml:space="preserve"> </w:t>
      </w:r>
      <w:proofErr w:type="spellStart"/>
      <w:r w:rsidRPr="00B14039">
        <w:t>mara</w:t>
      </w:r>
      <w:proofErr w:type="spellEnd"/>
      <w:r w:rsidRPr="00B14039">
        <w:t xml:space="preserve"> </w:t>
      </w:r>
      <w:proofErr w:type="spellStart"/>
      <w:r w:rsidRPr="00B14039">
        <w:t>kwa</w:t>
      </w:r>
      <w:proofErr w:type="spellEnd"/>
      <w:r w:rsidRPr="00B14039">
        <w:t xml:space="preserve"> </w:t>
      </w:r>
      <w:proofErr w:type="spellStart"/>
      <w:r w:rsidRPr="00B14039">
        <w:t>mara</w:t>
      </w:r>
      <w:proofErr w:type="spellEnd"/>
      <w:r w:rsidRPr="00B14039">
        <w:t xml:space="preserve"> </w:t>
      </w:r>
      <w:proofErr w:type="spellStart"/>
      <w:r w:rsidRPr="00B14039">
        <w:t>za</w:t>
      </w:r>
      <w:proofErr w:type="spellEnd"/>
      <w:r w:rsidRPr="00B14039">
        <w:t xml:space="preserve"> </w:t>
      </w:r>
      <w:proofErr w:type="spellStart"/>
      <w:r w:rsidRPr="00B14039">
        <w:t>walimu</w:t>
      </w:r>
      <w:proofErr w:type="spellEnd"/>
      <w:r w:rsidRPr="00B14039">
        <w:t xml:space="preserve"> </w:t>
      </w:r>
      <w:proofErr w:type="spellStart"/>
      <w:r w:rsidRPr="00B14039">
        <w:t>ili</w:t>
      </w:r>
      <w:proofErr w:type="spellEnd"/>
      <w:r w:rsidRPr="00B14039">
        <w:t xml:space="preserve"> </w:t>
      </w:r>
      <w:proofErr w:type="spellStart"/>
      <w:r w:rsidRPr="00B14039">
        <w:t>waweze</w:t>
      </w:r>
      <w:proofErr w:type="spellEnd"/>
      <w:r w:rsidRPr="00B14039">
        <w:t xml:space="preserve"> </w:t>
      </w:r>
      <w:proofErr w:type="spellStart"/>
      <w:r w:rsidRPr="00B14039">
        <w:t>kuendeleza</w:t>
      </w:r>
      <w:proofErr w:type="spellEnd"/>
      <w:r w:rsidRPr="00B14039">
        <w:t xml:space="preserve"> </w:t>
      </w:r>
      <w:proofErr w:type="spellStart"/>
      <w:r w:rsidRPr="00B14039">
        <w:t>ama</w:t>
      </w:r>
      <w:proofErr w:type="spellEnd"/>
      <w:r w:rsidRPr="00B14039">
        <w:t xml:space="preserve"> </w:t>
      </w:r>
      <w:proofErr w:type="spellStart"/>
      <w:r w:rsidRPr="00B14039">
        <w:t>kujikumbusha</w:t>
      </w:r>
      <w:proofErr w:type="spellEnd"/>
      <w:r w:rsidRPr="00B14039">
        <w:t xml:space="preserve"> </w:t>
      </w:r>
      <w:proofErr w:type="spellStart"/>
      <w:r w:rsidRPr="00B14039">
        <w:t>masomo</w:t>
      </w:r>
      <w:proofErr w:type="spellEnd"/>
      <w:r w:rsidRPr="00B14039">
        <w:t xml:space="preserve"> </w:t>
      </w:r>
      <w:proofErr w:type="spellStart"/>
      <w:r w:rsidRPr="00B14039">
        <w:t>yao</w:t>
      </w:r>
      <w:proofErr w:type="spellEnd"/>
      <w:r w:rsidRPr="00B14039">
        <w:t xml:space="preserve"> </w:t>
      </w:r>
      <w:proofErr w:type="spellStart"/>
      <w:r w:rsidRPr="00B14039">
        <w:t>wanayofunza</w:t>
      </w:r>
      <w:proofErr w:type="spellEnd"/>
      <w:r w:rsidRPr="00B14039">
        <w:t xml:space="preserve"> </w:t>
      </w:r>
      <w:proofErr w:type="spellStart"/>
      <w:r w:rsidRPr="00B14039">
        <w:t>kwa</w:t>
      </w:r>
      <w:proofErr w:type="spellEnd"/>
      <w:r w:rsidRPr="00B14039">
        <w:t xml:space="preserve"> kina.</w:t>
      </w:r>
    </w:p>
    <w:p w:rsidR="00E90AC8" w:rsidRPr="00FB301D" w:rsidRDefault="00E90AC8" w:rsidP="00E90AC8">
      <w:pPr>
        <w:pStyle w:val="ListParagraph"/>
        <w:numPr>
          <w:ilvl w:val="0"/>
          <w:numId w:val="1"/>
        </w:numPr>
        <w:jc w:val="both"/>
      </w:pPr>
      <w:proofErr w:type="spellStart"/>
      <w:r w:rsidRPr="00FB301D">
        <w:t>Taasisi</w:t>
      </w:r>
      <w:proofErr w:type="spellEnd"/>
      <w:r w:rsidRPr="00FB301D">
        <w:t xml:space="preserve"> </w:t>
      </w:r>
      <w:proofErr w:type="spellStart"/>
      <w:r w:rsidRPr="00FB301D">
        <w:t>zinazohusika</w:t>
      </w:r>
      <w:proofErr w:type="spellEnd"/>
      <w:r w:rsidRPr="00FB301D">
        <w:t xml:space="preserve"> </w:t>
      </w:r>
      <w:proofErr w:type="spellStart"/>
      <w:proofErr w:type="gramStart"/>
      <w:r w:rsidRPr="00FB301D">
        <w:t>na</w:t>
      </w:r>
      <w:proofErr w:type="spellEnd"/>
      <w:proofErr w:type="gramEnd"/>
      <w:r w:rsidRPr="00FB301D">
        <w:t xml:space="preserve"> </w:t>
      </w:r>
      <w:proofErr w:type="spellStart"/>
      <w:r w:rsidRPr="00FB301D">
        <w:t>utendakazi</w:t>
      </w:r>
      <w:proofErr w:type="spellEnd"/>
      <w:r w:rsidRPr="00FB301D">
        <w:t xml:space="preserve"> </w:t>
      </w:r>
      <w:proofErr w:type="spellStart"/>
      <w:r w:rsidRPr="00FB301D">
        <w:t>wa</w:t>
      </w:r>
      <w:proofErr w:type="spellEnd"/>
      <w:r w:rsidRPr="00FB301D">
        <w:t xml:space="preserve"> </w:t>
      </w:r>
      <w:proofErr w:type="spellStart"/>
      <w:r w:rsidRPr="00FB301D">
        <w:t>mwalimu</w:t>
      </w:r>
      <w:proofErr w:type="spellEnd"/>
      <w:r w:rsidRPr="00FB301D">
        <w:t xml:space="preserve"> </w:t>
      </w:r>
      <w:proofErr w:type="spellStart"/>
      <w:r w:rsidRPr="00FB301D">
        <w:t>zibuni</w:t>
      </w:r>
      <w:proofErr w:type="spellEnd"/>
      <w:r w:rsidRPr="00FB301D">
        <w:t xml:space="preserve"> sera </w:t>
      </w:r>
      <w:proofErr w:type="spellStart"/>
      <w:r w:rsidRPr="00FB301D">
        <w:t>kuhusu</w:t>
      </w:r>
      <w:proofErr w:type="spellEnd"/>
      <w:r w:rsidRPr="00FB301D">
        <w:t xml:space="preserve"> </w:t>
      </w:r>
      <w:proofErr w:type="spellStart"/>
      <w:r w:rsidRPr="00FB301D">
        <w:t>mahudhurio</w:t>
      </w:r>
      <w:proofErr w:type="spellEnd"/>
      <w:r w:rsidRPr="00FB301D">
        <w:t xml:space="preserve"> </w:t>
      </w:r>
      <w:proofErr w:type="spellStart"/>
      <w:r w:rsidRPr="00FB301D">
        <w:t>na</w:t>
      </w:r>
      <w:proofErr w:type="spellEnd"/>
      <w:r w:rsidRPr="00FB301D">
        <w:t xml:space="preserve"> </w:t>
      </w:r>
      <w:proofErr w:type="spellStart"/>
      <w:r w:rsidRPr="00FB301D">
        <w:t>utoshelevu</w:t>
      </w:r>
      <w:proofErr w:type="spellEnd"/>
      <w:r w:rsidRPr="00FB301D">
        <w:t xml:space="preserve"> </w:t>
      </w:r>
      <w:proofErr w:type="spellStart"/>
      <w:r w:rsidRPr="00FB301D">
        <w:t>wa</w:t>
      </w:r>
      <w:proofErr w:type="spellEnd"/>
      <w:r w:rsidRPr="00FB301D">
        <w:t xml:space="preserve"> </w:t>
      </w:r>
      <w:proofErr w:type="spellStart"/>
      <w:r w:rsidRPr="00FB301D">
        <w:t>mafunzo-kazini</w:t>
      </w:r>
      <w:proofErr w:type="spellEnd"/>
      <w:r w:rsidRPr="00FB301D">
        <w:t xml:space="preserve"> </w:t>
      </w:r>
      <w:proofErr w:type="spellStart"/>
      <w:r w:rsidRPr="00FB301D">
        <w:t>kwa</w:t>
      </w:r>
      <w:proofErr w:type="spellEnd"/>
      <w:r w:rsidRPr="00FB301D">
        <w:t xml:space="preserve"> </w:t>
      </w:r>
      <w:proofErr w:type="spellStart"/>
      <w:r w:rsidRPr="00FB301D">
        <w:t>mwalimu</w:t>
      </w:r>
      <w:proofErr w:type="spellEnd"/>
      <w:r w:rsidRPr="00FB301D">
        <w:t>.</w:t>
      </w:r>
    </w:p>
    <w:p w:rsidR="00E90AC8" w:rsidRPr="00FB301D" w:rsidRDefault="00E90AC8" w:rsidP="00E90AC8">
      <w:pPr>
        <w:pStyle w:val="ListParagraph"/>
        <w:numPr>
          <w:ilvl w:val="0"/>
          <w:numId w:val="1"/>
        </w:numPr>
        <w:jc w:val="both"/>
      </w:pPr>
      <w:proofErr w:type="spellStart"/>
      <w:r w:rsidRPr="00FB301D">
        <w:t>Tathmini</w:t>
      </w:r>
      <w:proofErr w:type="spellEnd"/>
      <w:r w:rsidRPr="00FB301D">
        <w:t xml:space="preserve"> </w:t>
      </w:r>
      <w:proofErr w:type="spellStart"/>
      <w:r w:rsidRPr="00FB301D">
        <w:t>ya</w:t>
      </w:r>
      <w:proofErr w:type="spellEnd"/>
      <w:r w:rsidRPr="00FB301D">
        <w:t xml:space="preserve"> </w:t>
      </w:r>
      <w:proofErr w:type="spellStart"/>
      <w:r w:rsidRPr="00FB301D">
        <w:t>mahitaji</w:t>
      </w:r>
      <w:proofErr w:type="spellEnd"/>
      <w:r w:rsidRPr="00FB301D">
        <w:t xml:space="preserve"> </w:t>
      </w:r>
      <w:proofErr w:type="spellStart"/>
      <w:r w:rsidRPr="00FB301D">
        <w:t>ya</w:t>
      </w:r>
      <w:proofErr w:type="spellEnd"/>
      <w:r w:rsidRPr="00FB301D">
        <w:t xml:space="preserve"> </w:t>
      </w:r>
      <w:proofErr w:type="spellStart"/>
      <w:r w:rsidRPr="00FB301D">
        <w:t>walimu</w:t>
      </w:r>
      <w:proofErr w:type="spellEnd"/>
      <w:r w:rsidRPr="00FB301D">
        <w:t xml:space="preserve"> </w:t>
      </w:r>
      <w:proofErr w:type="spellStart"/>
      <w:r w:rsidRPr="00FB301D">
        <w:t>katika</w:t>
      </w:r>
      <w:proofErr w:type="spellEnd"/>
      <w:r w:rsidRPr="00FB301D">
        <w:t xml:space="preserve"> </w:t>
      </w:r>
      <w:proofErr w:type="spellStart"/>
      <w:r w:rsidRPr="00FB301D">
        <w:t>kila</w:t>
      </w:r>
      <w:proofErr w:type="spellEnd"/>
      <w:r w:rsidRPr="00FB301D">
        <w:t xml:space="preserve"> </w:t>
      </w:r>
      <w:proofErr w:type="spellStart"/>
      <w:r w:rsidRPr="00FB301D">
        <w:t>eneo</w:t>
      </w:r>
      <w:proofErr w:type="spellEnd"/>
      <w:r w:rsidRPr="00FB301D">
        <w:t xml:space="preserve"> </w:t>
      </w:r>
      <w:proofErr w:type="spellStart"/>
      <w:r w:rsidRPr="00FB301D">
        <w:t>ifanywe</w:t>
      </w:r>
      <w:proofErr w:type="spellEnd"/>
      <w:r w:rsidRPr="00FB301D">
        <w:t xml:space="preserve"> </w:t>
      </w:r>
      <w:proofErr w:type="spellStart"/>
      <w:r w:rsidRPr="00FB301D">
        <w:t>kabla</w:t>
      </w:r>
      <w:proofErr w:type="spellEnd"/>
      <w:r w:rsidRPr="00FB301D">
        <w:t xml:space="preserve"> </w:t>
      </w:r>
      <w:proofErr w:type="spellStart"/>
      <w:r w:rsidRPr="00FB301D">
        <w:t>ya</w:t>
      </w:r>
      <w:proofErr w:type="spellEnd"/>
      <w:r w:rsidRPr="00FB301D">
        <w:t xml:space="preserve"> </w:t>
      </w:r>
      <w:proofErr w:type="spellStart"/>
      <w:r w:rsidRPr="00FB301D">
        <w:t>maandalizi</w:t>
      </w:r>
      <w:proofErr w:type="spellEnd"/>
      <w:r w:rsidRPr="00FB301D">
        <w:t xml:space="preserve"> </w:t>
      </w:r>
      <w:proofErr w:type="spellStart"/>
      <w:r w:rsidRPr="00FB301D">
        <w:t>ya</w:t>
      </w:r>
      <w:proofErr w:type="spellEnd"/>
      <w:r w:rsidRPr="00FB301D">
        <w:t xml:space="preserve"> </w:t>
      </w:r>
      <w:proofErr w:type="spellStart"/>
      <w:r w:rsidRPr="00FB301D">
        <w:t>kozi</w:t>
      </w:r>
      <w:proofErr w:type="spellEnd"/>
      <w:r w:rsidRPr="00FB301D">
        <w:t xml:space="preserve"> </w:t>
      </w:r>
      <w:proofErr w:type="spellStart"/>
      <w:r w:rsidRPr="00FB301D">
        <w:t>za</w:t>
      </w:r>
      <w:proofErr w:type="spellEnd"/>
      <w:r w:rsidRPr="00FB301D">
        <w:t xml:space="preserve"> </w:t>
      </w:r>
      <w:proofErr w:type="spellStart"/>
      <w:r w:rsidRPr="00FB301D">
        <w:t>mafunzo</w:t>
      </w:r>
      <w:proofErr w:type="spellEnd"/>
      <w:r w:rsidRPr="00FB301D">
        <w:t xml:space="preserve"> </w:t>
      </w:r>
      <w:proofErr w:type="spellStart"/>
      <w:r w:rsidRPr="00FB301D">
        <w:t>kazini</w:t>
      </w:r>
      <w:proofErr w:type="spellEnd"/>
      <w:r w:rsidRPr="00FB301D">
        <w:t>.</w:t>
      </w:r>
    </w:p>
    <w:p w:rsidR="00E90AC8" w:rsidRPr="00FB301D" w:rsidRDefault="00E90AC8" w:rsidP="00E90AC8">
      <w:pPr>
        <w:pStyle w:val="ListParagraph"/>
        <w:ind w:left="360"/>
        <w:jc w:val="both"/>
        <w:rPr>
          <w:b/>
        </w:rPr>
      </w:pPr>
    </w:p>
    <w:p w:rsidR="00E90AC8" w:rsidRDefault="00E90AC8" w:rsidP="00E90AC8">
      <w:pPr>
        <w:pStyle w:val="ListParagraph"/>
        <w:ind w:left="0"/>
        <w:jc w:val="both"/>
        <w:rPr>
          <w:b/>
        </w:rPr>
      </w:pPr>
    </w:p>
    <w:p w:rsidR="00E90AC8" w:rsidRPr="00FB301D" w:rsidRDefault="00E90AC8" w:rsidP="00E90AC8">
      <w:pPr>
        <w:pStyle w:val="ListParagraph"/>
        <w:ind w:left="0"/>
        <w:jc w:val="both"/>
        <w:rPr>
          <w:b/>
        </w:rPr>
      </w:pPr>
      <w:r w:rsidRPr="00FB301D">
        <w:rPr>
          <w:b/>
        </w:rPr>
        <w:t>MAREJELEO</w:t>
      </w:r>
    </w:p>
    <w:p w:rsidR="00E90AC8" w:rsidRPr="00FB301D" w:rsidRDefault="00E90AC8" w:rsidP="00E90AC8">
      <w:pPr>
        <w:pStyle w:val="ListParagraph"/>
        <w:ind w:left="360"/>
        <w:jc w:val="both"/>
        <w:rPr>
          <w:b/>
        </w:rPr>
      </w:pPr>
    </w:p>
    <w:p w:rsidR="00E90AC8" w:rsidRPr="00FB301D" w:rsidRDefault="00E90AC8" w:rsidP="00E90AC8">
      <w:pPr>
        <w:pStyle w:val="ListParagraph"/>
        <w:ind w:hanging="720"/>
        <w:jc w:val="both"/>
      </w:pPr>
      <w:proofErr w:type="gramStart"/>
      <w:r w:rsidRPr="00FB301D">
        <w:t>Best, J.W., &amp; Khan, R. (2008).</w:t>
      </w:r>
      <w:proofErr w:type="gramEnd"/>
      <w:r w:rsidRPr="00FB301D">
        <w:t xml:space="preserve"> </w:t>
      </w:r>
      <w:proofErr w:type="gramStart"/>
      <w:r w:rsidRPr="00FB301D">
        <w:rPr>
          <w:i/>
        </w:rPr>
        <w:t>Research in Education.</w:t>
      </w:r>
      <w:proofErr w:type="gramEnd"/>
      <w:r w:rsidRPr="00FB301D">
        <w:t xml:space="preserve"> New Delhi: Prentice Hall Ltd.</w:t>
      </w:r>
    </w:p>
    <w:p w:rsidR="00E90AC8" w:rsidRPr="00FB301D" w:rsidRDefault="00E90AC8" w:rsidP="00E90AC8">
      <w:pPr>
        <w:pStyle w:val="ListParagraph"/>
        <w:ind w:hanging="720"/>
        <w:jc w:val="both"/>
      </w:pPr>
      <w:r w:rsidRPr="00FB301D">
        <w:t xml:space="preserve">Bishop, G. (1985). </w:t>
      </w:r>
      <w:r w:rsidRPr="00FB301D">
        <w:rPr>
          <w:i/>
        </w:rPr>
        <w:t>Curriculum Development: a text book for students</w:t>
      </w:r>
      <w:r w:rsidRPr="00FB301D">
        <w:t>. London: Macmillan Publishing Company.</w:t>
      </w:r>
    </w:p>
    <w:p w:rsidR="00E90AC8" w:rsidRPr="00B14039" w:rsidRDefault="00E90AC8" w:rsidP="00E90AC8">
      <w:pPr>
        <w:pStyle w:val="ListParagraph"/>
        <w:ind w:hanging="720"/>
        <w:jc w:val="both"/>
      </w:pPr>
      <w:proofErr w:type="gramStart"/>
      <w:r w:rsidRPr="00FB301D">
        <w:t xml:space="preserve">Jahangir, S.F., </w:t>
      </w:r>
      <w:proofErr w:type="spellStart"/>
      <w:r w:rsidRPr="00FB301D">
        <w:t>Saheen</w:t>
      </w:r>
      <w:proofErr w:type="spellEnd"/>
      <w:r w:rsidRPr="00FB301D">
        <w:t xml:space="preserve"> N., &amp; </w:t>
      </w:r>
      <w:proofErr w:type="spellStart"/>
      <w:r w:rsidRPr="00FB301D">
        <w:t>Kazmi</w:t>
      </w:r>
      <w:proofErr w:type="spellEnd"/>
      <w:r w:rsidRPr="00FB301D">
        <w:t>, F.S. (2012).</w:t>
      </w:r>
      <w:proofErr w:type="gramEnd"/>
      <w:r w:rsidRPr="00FB301D">
        <w:t xml:space="preserve"> In-service Training: A contributory Factor </w:t>
      </w:r>
      <w:r w:rsidRPr="00FB301D">
        <w:tab/>
        <w:t xml:space="preserve">Influencing Teachers’ Performance. </w:t>
      </w:r>
      <w:r w:rsidRPr="00FB301D">
        <w:rPr>
          <w:i/>
        </w:rPr>
        <w:t xml:space="preserve">International Journal of Academic Research in   </w:t>
      </w:r>
      <w:r w:rsidRPr="00FB301D">
        <w:rPr>
          <w:i/>
        </w:rPr>
        <w:tab/>
        <w:t>Progressive</w:t>
      </w:r>
      <w:r>
        <w:rPr>
          <w:i/>
        </w:rPr>
        <w:t xml:space="preserve"> </w:t>
      </w:r>
      <w:r w:rsidRPr="00FB301D">
        <w:rPr>
          <w:i/>
        </w:rPr>
        <w:t>Education and Developmen</w:t>
      </w:r>
      <w:r w:rsidRPr="00FB301D">
        <w:t xml:space="preserve">t, </w:t>
      </w:r>
      <w:r w:rsidRPr="00FB301D">
        <w:rPr>
          <w:i/>
        </w:rPr>
        <w:t>1</w:t>
      </w:r>
      <w:r w:rsidRPr="00FB301D">
        <w:t xml:space="preserve">(1), 809-821. </w:t>
      </w:r>
      <w:proofErr w:type="spellStart"/>
      <w:proofErr w:type="gramStart"/>
      <w:r w:rsidRPr="00FB301D">
        <w:t>Retrived</w:t>
      </w:r>
      <w:proofErr w:type="spellEnd"/>
      <w:r w:rsidRPr="00FB301D">
        <w:t xml:space="preserve"> April 5, 2015 from </w:t>
      </w:r>
      <w:hyperlink r:id="rId5" w:history="1">
        <w:r w:rsidRPr="00B14039">
          <w:rPr>
            <w:rStyle w:val="Hyperlink"/>
            <w:rFonts w:eastAsia="MS Mincho"/>
          </w:rPr>
          <w:t>www.hrmars.com/journals</w:t>
        </w:r>
      </w:hyperlink>
      <w:r w:rsidRPr="00B14039">
        <w:t>.</w:t>
      </w:r>
      <w:proofErr w:type="gramEnd"/>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Kenya Institute of Education. (2005). </w:t>
      </w:r>
      <w:r w:rsidRPr="00FB301D">
        <w:rPr>
          <w:rFonts w:ascii="Times New Roman" w:hAnsi="Times New Roman"/>
          <w:i/>
          <w:sz w:val="24"/>
          <w:szCs w:val="24"/>
        </w:rPr>
        <w:t>Report on Monitoring of the Implementation of Phase Two of the Revised Secondary School Education: Research Report No. 80.</w:t>
      </w:r>
      <w:r w:rsidRPr="00FB301D">
        <w:rPr>
          <w:rFonts w:ascii="Times New Roman" w:hAnsi="Times New Roman"/>
          <w:sz w:val="24"/>
          <w:szCs w:val="24"/>
        </w:rPr>
        <w:t xml:space="preserve"> Nairobi: KIE. </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Kobia, J.M., &amp; Ndiga, T.M. (2013). How Teachers Influence the implementation of Kiswahili Curriculum in public secondary schools in Igembe district Kenya. </w:t>
      </w:r>
      <w:r w:rsidRPr="00FB301D">
        <w:rPr>
          <w:rFonts w:ascii="Times New Roman" w:hAnsi="Times New Roman"/>
          <w:i/>
          <w:sz w:val="24"/>
          <w:szCs w:val="24"/>
        </w:rPr>
        <w:t xml:space="preserve">International Journal </w:t>
      </w:r>
      <w:r w:rsidRPr="00FB301D">
        <w:rPr>
          <w:rFonts w:ascii="Times New Roman" w:hAnsi="Times New Roman"/>
          <w:i/>
          <w:sz w:val="24"/>
          <w:szCs w:val="24"/>
        </w:rPr>
        <w:tab/>
        <w:t>of Current Research</w:t>
      </w:r>
      <w:r w:rsidRPr="00FB301D">
        <w:rPr>
          <w:rFonts w:ascii="Times New Roman" w:hAnsi="Times New Roman"/>
          <w:sz w:val="24"/>
          <w:szCs w:val="24"/>
        </w:rPr>
        <w:t xml:space="preserve">, </w:t>
      </w:r>
      <w:r w:rsidRPr="00FB301D">
        <w:rPr>
          <w:rFonts w:ascii="Times New Roman" w:hAnsi="Times New Roman"/>
          <w:i/>
          <w:sz w:val="24"/>
          <w:szCs w:val="24"/>
        </w:rPr>
        <w:t>5</w:t>
      </w:r>
      <w:r w:rsidRPr="00FB301D">
        <w:rPr>
          <w:rFonts w:ascii="Times New Roman" w:hAnsi="Times New Roman"/>
          <w:sz w:val="24"/>
          <w:szCs w:val="24"/>
        </w:rPr>
        <w:t xml:space="preserve">(6), 1371-1375. Retrieved April 4, 2015 from </w:t>
      </w:r>
      <w:r w:rsidRPr="00FB301D">
        <w:rPr>
          <w:rFonts w:ascii="Times New Roman" w:hAnsi="Times New Roman"/>
          <w:sz w:val="24"/>
          <w:szCs w:val="24"/>
        </w:rPr>
        <w:tab/>
      </w:r>
      <w:hyperlink r:id="rId6" w:history="1">
        <w:r w:rsidRPr="00FB301D">
          <w:rPr>
            <w:rStyle w:val="Hyperlink"/>
            <w:rFonts w:ascii="Times New Roman" w:hAnsi="Times New Roman"/>
            <w:sz w:val="24"/>
            <w:szCs w:val="24"/>
          </w:rPr>
          <w:t>http://www.journalcra.com</w:t>
        </w:r>
      </w:hyperlink>
      <w:r w:rsidRPr="00FB301D">
        <w:rPr>
          <w:rFonts w:ascii="Times New Roman" w:hAnsi="Times New Roman"/>
          <w:sz w:val="24"/>
          <w:szCs w:val="24"/>
        </w:rPr>
        <w:t>.</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Ministry of Education</w:t>
      </w:r>
      <w:r>
        <w:rPr>
          <w:rFonts w:ascii="Times New Roman" w:hAnsi="Times New Roman"/>
          <w:sz w:val="24"/>
          <w:szCs w:val="24"/>
        </w:rPr>
        <w:t>.</w:t>
      </w:r>
      <w:r w:rsidRPr="00FB301D">
        <w:rPr>
          <w:rFonts w:ascii="Times New Roman" w:hAnsi="Times New Roman"/>
          <w:sz w:val="24"/>
          <w:szCs w:val="24"/>
        </w:rPr>
        <w:t xml:space="preserve"> (2002). Secondary Education Syllabus. Nairobi: KIE</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Mose, R.M., Mokamba, J., Keraro, V., &amp; Nyagah, G. (2012). Factors Affecting Implementation of Kiswahili Curriculum reforms in Ngong division, Kajiado district Kenya. </w:t>
      </w:r>
      <w:r w:rsidRPr="00FB301D">
        <w:rPr>
          <w:rFonts w:ascii="Times New Roman" w:hAnsi="Times New Roman"/>
          <w:i/>
          <w:sz w:val="24"/>
          <w:szCs w:val="24"/>
        </w:rPr>
        <w:t>Prime Journal of Business Adminstration and Management</w:t>
      </w:r>
      <w:r w:rsidRPr="00FB301D">
        <w:rPr>
          <w:rFonts w:ascii="Times New Roman" w:hAnsi="Times New Roman"/>
          <w:sz w:val="24"/>
          <w:szCs w:val="24"/>
        </w:rPr>
        <w:t xml:space="preserve">, </w:t>
      </w:r>
      <w:r w:rsidRPr="00FB301D">
        <w:rPr>
          <w:rFonts w:ascii="Times New Roman" w:hAnsi="Times New Roman"/>
          <w:i/>
          <w:sz w:val="24"/>
          <w:szCs w:val="24"/>
        </w:rPr>
        <w:t>2</w:t>
      </w:r>
      <w:r w:rsidRPr="00FB301D">
        <w:rPr>
          <w:rFonts w:ascii="Times New Roman" w:hAnsi="Times New Roman"/>
          <w:sz w:val="24"/>
          <w:szCs w:val="24"/>
        </w:rPr>
        <w:t>(11), 746-757.</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Mugenda, O. M., &amp; Mugenda, A. G. (2003). </w:t>
      </w:r>
      <w:r w:rsidRPr="00FB301D">
        <w:rPr>
          <w:rFonts w:ascii="Times New Roman" w:hAnsi="Times New Roman"/>
          <w:i/>
          <w:sz w:val="24"/>
          <w:szCs w:val="24"/>
        </w:rPr>
        <w:t>Research Methods: Quantitative and Qualitative Approaches.</w:t>
      </w:r>
      <w:r w:rsidRPr="00FB301D">
        <w:rPr>
          <w:rFonts w:ascii="Times New Roman" w:hAnsi="Times New Roman"/>
          <w:sz w:val="24"/>
          <w:szCs w:val="24"/>
        </w:rPr>
        <w:t xml:space="preserve"> Nairobi: Acts Press.</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Muhammad, A.D., &amp; Rashid A.D. (2011). Impact of Teacher Quality on academic achievement of students in secondary state in Punjab. </w:t>
      </w:r>
      <w:r w:rsidRPr="00FB301D">
        <w:rPr>
          <w:rFonts w:ascii="Times New Roman" w:hAnsi="Times New Roman"/>
          <w:i/>
          <w:sz w:val="24"/>
          <w:szCs w:val="24"/>
        </w:rPr>
        <w:t xml:space="preserve">European Journal of Social </w:t>
      </w:r>
      <w:r w:rsidRPr="00FB301D">
        <w:rPr>
          <w:rFonts w:ascii="Times New Roman" w:hAnsi="Times New Roman"/>
          <w:i/>
          <w:sz w:val="24"/>
          <w:szCs w:val="24"/>
        </w:rPr>
        <w:tab/>
        <w:t>Sciences</w:t>
      </w:r>
      <w:r w:rsidRPr="00FB301D">
        <w:rPr>
          <w:rFonts w:ascii="Times New Roman" w:hAnsi="Times New Roman"/>
          <w:sz w:val="24"/>
          <w:szCs w:val="24"/>
        </w:rPr>
        <w:t xml:space="preserve">, </w:t>
      </w:r>
      <w:r w:rsidRPr="00FB301D">
        <w:rPr>
          <w:rFonts w:ascii="Times New Roman" w:hAnsi="Times New Roman"/>
          <w:i/>
          <w:sz w:val="24"/>
          <w:szCs w:val="24"/>
        </w:rPr>
        <w:t>19</w:t>
      </w:r>
      <w:r w:rsidRPr="00FB301D">
        <w:rPr>
          <w:rFonts w:ascii="Times New Roman" w:hAnsi="Times New Roman"/>
          <w:sz w:val="24"/>
          <w:szCs w:val="24"/>
        </w:rPr>
        <w:t>(1), 1015-1023.</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Omar, M.Z. (2014). The need for In-service Training for Teachers’ and its Effectiveness in school. </w:t>
      </w:r>
      <w:r w:rsidRPr="00FB301D">
        <w:rPr>
          <w:rFonts w:ascii="Times New Roman" w:hAnsi="Times New Roman"/>
          <w:i/>
          <w:sz w:val="24"/>
          <w:szCs w:val="24"/>
        </w:rPr>
        <w:t>International Journal for Innovation Education and Research</w:t>
      </w:r>
      <w:r w:rsidRPr="00FB301D">
        <w:rPr>
          <w:rFonts w:ascii="Times New Roman" w:hAnsi="Times New Roman"/>
          <w:sz w:val="24"/>
          <w:szCs w:val="24"/>
        </w:rPr>
        <w:t xml:space="preserve">, </w:t>
      </w:r>
      <w:r w:rsidRPr="00FB301D">
        <w:rPr>
          <w:rFonts w:ascii="Times New Roman" w:hAnsi="Times New Roman"/>
          <w:i/>
          <w:sz w:val="24"/>
          <w:szCs w:val="24"/>
        </w:rPr>
        <w:t>2</w:t>
      </w:r>
      <w:r w:rsidRPr="00FB301D">
        <w:rPr>
          <w:rFonts w:ascii="Times New Roman" w:hAnsi="Times New Roman"/>
          <w:sz w:val="24"/>
          <w:szCs w:val="24"/>
        </w:rPr>
        <w:t xml:space="preserve">(11), 476-481. </w:t>
      </w:r>
      <w:r w:rsidRPr="00FB301D">
        <w:rPr>
          <w:rFonts w:ascii="Times New Roman" w:hAnsi="Times New Roman"/>
          <w:sz w:val="24"/>
          <w:szCs w:val="24"/>
        </w:rPr>
        <w:tab/>
        <w:t xml:space="preserve">Retrieved April 4, 2015 from </w:t>
      </w:r>
      <w:hyperlink r:id="rId7" w:history="1">
        <w:r w:rsidRPr="00FB301D">
          <w:rPr>
            <w:rStyle w:val="Hyperlink"/>
            <w:rFonts w:ascii="Times New Roman" w:hAnsi="Times New Roman"/>
            <w:sz w:val="24"/>
            <w:szCs w:val="24"/>
          </w:rPr>
          <w:t>www.ijier.net</w:t>
        </w:r>
      </w:hyperlink>
      <w:r w:rsidRPr="00FB301D">
        <w:rPr>
          <w:rFonts w:ascii="Times New Roman" w:hAnsi="Times New Roman"/>
          <w:sz w:val="24"/>
          <w:szCs w:val="24"/>
        </w:rPr>
        <w:t>.</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lastRenderedPageBreak/>
        <w:t xml:space="preserve">Ombui, J.O. (2012). </w:t>
      </w:r>
      <w:r w:rsidRPr="00FB301D">
        <w:rPr>
          <w:rFonts w:ascii="Times New Roman" w:hAnsi="Times New Roman"/>
          <w:i/>
          <w:sz w:val="24"/>
          <w:szCs w:val="24"/>
        </w:rPr>
        <w:t>Institution Based Factors Influencing Students’ Performance in Kiswahili at KCSE in Public schools in Sameta Division Kisii County Kenya.</w:t>
      </w:r>
      <w:r w:rsidRPr="00FB301D">
        <w:rPr>
          <w:rFonts w:ascii="Times New Roman" w:hAnsi="Times New Roman"/>
          <w:sz w:val="24"/>
          <w:szCs w:val="24"/>
        </w:rPr>
        <w:t xml:space="preserve"> Unpublished Masters </w:t>
      </w:r>
      <w:r w:rsidRPr="00FB301D">
        <w:rPr>
          <w:rFonts w:ascii="Times New Roman" w:hAnsi="Times New Roman"/>
          <w:sz w:val="24"/>
          <w:szCs w:val="24"/>
        </w:rPr>
        <w:tab/>
        <w:t>Thesis, Kenyatta University, Nairobi.</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Republic of Kenya</w:t>
      </w:r>
      <w:r>
        <w:rPr>
          <w:rFonts w:ascii="Times New Roman" w:hAnsi="Times New Roman"/>
          <w:sz w:val="24"/>
          <w:szCs w:val="24"/>
        </w:rPr>
        <w:t>.</w:t>
      </w:r>
      <w:r w:rsidRPr="00FB301D">
        <w:rPr>
          <w:rFonts w:ascii="Times New Roman" w:hAnsi="Times New Roman"/>
          <w:sz w:val="24"/>
          <w:szCs w:val="24"/>
        </w:rPr>
        <w:t xml:space="preserve"> (2010). Constitution of Kenya. Government Printer: Nairobi</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Saunders, M. (2009) </w:t>
      </w:r>
      <w:r w:rsidRPr="00FB301D">
        <w:rPr>
          <w:rFonts w:ascii="Times New Roman" w:hAnsi="Times New Roman"/>
          <w:i/>
          <w:sz w:val="24"/>
          <w:szCs w:val="24"/>
        </w:rPr>
        <w:t>Research Methods.</w:t>
      </w:r>
      <w:r w:rsidRPr="00FB301D">
        <w:rPr>
          <w:rFonts w:ascii="Times New Roman" w:hAnsi="Times New Roman"/>
          <w:sz w:val="24"/>
          <w:szCs w:val="24"/>
        </w:rPr>
        <w:t xml:space="preserve"> Harlow Essex: Prentice Hall.</w:t>
      </w:r>
    </w:p>
    <w:p w:rsidR="00E90AC8" w:rsidRPr="00FB301D"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Suter, E. (2013). An Assessment of Preliminary issues on the Implementation of Kiswahili Oral Literature for Secondary schools in Marakwet district Kenya. </w:t>
      </w:r>
      <w:r w:rsidRPr="00FB301D">
        <w:rPr>
          <w:rFonts w:ascii="Times New Roman" w:hAnsi="Times New Roman"/>
          <w:i/>
          <w:sz w:val="24"/>
          <w:szCs w:val="24"/>
        </w:rPr>
        <w:t xml:space="preserve">International Journal </w:t>
      </w:r>
      <w:r w:rsidRPr="00FB301D">
        <w:rPr>
          <w:rFonts w:ascii="Times New Roman" w:hAnsi="Times New Roman"/>
          <w:i/>
          <w:sz w:val="24"/>
          <w:szCs w:val="24"/>
        </w:rPr>
        <w:tab/>
        <w:t>of Humanities and Social Science</w:t>
      </w:r>
      <w:r w:rsidRPr="00FB301D">
        <w:rPr>
          <w:rFonts w:ascii="Times New Roman" w:hAnsi="Times New Roman"/>
          <w:sz w:val="24"/>
          <w:szCs w:val="24"/>
        </w:rPr>
        <w:t xml:space="preserve">, </w:t>
      </w:r>
      <w:r w:rsidRPr="00FB301D">
        <w:rPr>
          <w:rFonts w:ascii="Times New Roman" w:hAnsi="Times New Roman"/>
          <w:i/>
          <w:sz w:val="24"/>
          <w:szCs w:val="24"/>
        </w:rPr>
        <w:t>3</w:t>
      </w:r>
      <w:r w:rsidRPr="00FB301D">
        <w:rPr>
          <w:rFonts w:ascii="Times New Roman" w:hAnsi="Times New Roman"/>
          <w:sz w:val="24"/>
          <w:szCs w:val="24"/>
        </w:rPr>
        <w:t>(6) 302-309.</w:t>
      </w:r>
    </w:p>
    <w:p w:rsidR="00E90AC8" w:rsidRDefault="00E90AC8" w:rsidP="00E90AC8">
      <w:pPr>
        <w:spacing w:after="0" w:line="240" w:lineRule="auto"/>
        <w:ind w:left="720" w:hanging="720"/>
        <w:jc w:val="both"/>
        <w:rPr>
          <w:rFonts w:ascii="Times New Roman" w:hAnsi="Times New Roman"/>
          <w:sz w:val="24"/>
          <w:szCs w:val="24"/>
        </w:rPr>
      </w:pPr>
      <w:r w:rsidRPr="00FB301D">
        <w:rPr>
          <w:rFonts w:ascii="Times New Roman" w:hAnsi="Times New Roman"/>
          <w:sz w:val="24"/>
          <w:szCs w:val="24"/>
        </w:rPr>
        <w:t xml:space="preserve">Vyhmeister, N.J. (2001). </w:t>
      </w:r>
      <w:r w:rsidRPr="00FB301D">
        <w:rPr>
          <w:rFonts w:ascii="Times New Roman" w:hAnsi="Times New Roman"/>
          <w:i/>
          <w:sz w:val="24"/>
          <w:szCs w:val="24"/>
        </w:rPr>
        <w:t>Your Indispensable Guide to Writing Quality Research papers.</w:t>
      </w:r>
      <w:r w:rsidRPr="00FB301D">
        <w:rPr>
          <w:rFonts w:ascii="Times New Roman" w:hAnsi="Times New Roman"/>
          <w:sz w:val="24"/>
          <w:szCs w:val="24"/>
        </w:rPr>
        <w:tab/>
        <w:t>Michigan: Zondervan.</w:t>
      </w:r>
    </w:p>
    <w:p w:rsidR="00C11F33" w:rsidRDefault="00C11F33"/>
    <w:sectPr w:rsidR="00C11F33" w:rsidSect="00C11F3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C06535"/>
    <w:multiLevelType w:val="multilevel"/>
    <w:tmpl w:val="F57091A0"/>
    <w:lvl w:ilvl="0">
      <w:start w:val="1"/>
      <w:numFmt w:val="decimal"/>
      <w:lvlText w:val="%1."/>
      <w:lvlJc w:val="left"/>
      <w:pPr>
        <w:ind w:left="360" w:hanging="360"/>
      </w:pPr>
      <w:rPr>
        <w:rFonts w:hint="default"/>
      </w:rPr>
    </w:lvl>
    <w:lvl w:ilv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90AC8"/>
    <w:rsid w:val="00C11F33"/>
    <w:rsid w:val="00E90A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AC8"/>
    <w:rPr>
      <w:rFonts w:ascii="Calibri" w:eastAsia="Calibri" w:hAnsi="Calibri" w:cs="Times New Roman"/>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AC8"/>
    <w:rPr>
      <w:color w:val="0563C1"/>
      <w:u w:val="single"/>
    </w:rPr>
  </w:style>
  <w:style w:type="paragraph" w:styleId="ListParagraph">
    <w:name w:val="List Paragraph"/>
    <w:basedOn w:val="Normal"/>
    <w:uiPriority w:val="34"/>
    <w:qFormat/>
    <w:rsid w:val="00E90AC8"/>
    <w:pPr>
      <w:spacing w:after="0" w:line="240" w:lineRule="auto"/>
      <w:ind w:left="720"/>
      <w:contextualSpacing/>
    </w:pPr>
    <w:rPr>
      <w:rFonts w:ascii="Times New Roman" w:eastAsia="Times New Roman" w:hAnsi="Times New Roman"/>
      <w:sz w:val="24"/>
      <w:szCs w:val="24"/>
      <w:lang w:val="en-US"/>
    </w:rPr>
  </w:style>
  <w:style w:type="paragraph" w:styleId="FootnoteText">
    <w:name w:val="footnote text"/>
    <w:basedOn w:val="Normal"/>
    <w:link w:val="FootnoteTextChar"/>
    <w:uiPriority w:val="99"/>
    <w:unhideWhenUsed/>
    <w:rsid w:val="00E90AC8"/>
    <w:pPr>
      <w:spacing w:after="0" w:line="240" w:lineRule="auto"/>
    </w:pPr>
    <w:rPr>
      <w:rFonts w:eastAsia="MS Mincho"/>
      <w:sz w:val="20"/>
      <w:szCs w:val="20"/>
      <w:lang w:val="en-US"/>
    </w:rPr>
  </w:style>
  <w:style w:type="character" w:customStyle="1" w:styleId="FootnoteTextChar">
    <w:name w:val="Footnote Text Char"/>
    <w:basedOn w:val="DefaultParagraphFont"/>
    <w:link w:val="FootnoteText"/>
    <w:uiPriority w:val="99"/>
    <w:rsid w:val="00E90AC8"/>
    <w:rPr>
      <w:rFonts w:ascii="Calibri" w:eastAsia="MS Mincho" w:hAnsi="Calibri" w:cs="Times New Roman"/>
      <w:sz w:val="20"/>
      <w:szCs w:val="20"/>
      <w:lang w:val="en-US"/>
    </w:rPr>
  </w:style>
  <w:style w:type="character" w:styleId="SubtleEmphasis">
    <w:name w:val="Subtle Emphasis"/>
    <w:basedOn w:val="DefaultParagraphFont"/>
    <w:uiPriority w:val="19"/>
    <w:qFormat/>
    <w:rsid w:val="00E90AC8"/>
    <w:rPr>
      <w:i/>
      <w:iCs/>
      <w:color w:val="808080"/>
    </w:rPr>
  </w:style>
  <w:style w:type="paragraph" w:customStyle="1" w:styleId="DecimalAligned">
    <w:name w:val="Decimal Aligned"/>
    <w:basedOn w:val="Normal"/>
    <w:uiPriority w:val="40"/>
    <w:qFormat/>
    <w:rsid w:val="00E90AC8"/>
    <w:pPr>
      <w:tabs>
        <w:tab w:val="decimal" w:pos="360"/>
      </w:tabs>
    </w:pPr>
    <w:rPr>
      <w:rFonts w:eastAsia="Times New Roman"/>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jie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journalcra.com" TargetMode="External"/><Relationship Id="rId5" Type="http://schemas.openxmlformats.org/officeDocument/2006/relationships/hyperlink" Target="http://www.hrmars.com/journa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3771</Words>
  <Characters>21499</Characters>
  <Application>Microsoft Office Word</Application>
  <DocSecurity>0</DocSecurity>
  <Lines>179</Lines>
  <Paragraphs>50</Paragraphs>
  <ScaleCrop>false</ScaleCrop>
  <Company/>
  <LinksUpToDate>false</LinksUpToDate>
  <CharactersWithSpaces>25220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2018-05-08T14:22:00Z</dcterms:created>
  <dcterms:modified xsi:type="dcterms:W3CDTF">2018-05-08T14:22:00Z</dcterms:modified>
</cp:coreProperties>
</file>